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0F" w:rsidRPr="00B262FA" w:rsidRDefault="00492C0F" w:rsidP="00AD7F04">
      <w:pPr>
        <w:spacing w:line="500" w:lineRule="exact"/>
        <w:jc w:val="center"/>
        <w:rPr>
          <w:rFonts w:ascii="標楷體" w:eastAsia="標楷體" w:hAnsi="標楷體"/>
          <w:b/>
          <w:sz w:val="32"/>
          <w:szCs w:val="32"/>
        </w:rPr>
      </w:pPr>
      <w:r w:rsidRPr="00B262FA">
        <w:rPr>
          <w:rFonts w:ascii="標楷體" w:eastAsia="標楷體" w:hAnsi="標楷體" w:hint="eastAsia"/>
          <w:b/>
          <w:sz w:val="32"/>
          <w:szCs w:val="32"/>
        </w:rPr>
        <w:t>中華民國銀行公會</w:t>
      </w:r>
    </w:p>
    <w:p w:rsidR="00B262FA" w:rsidRDefault="00492C0F" w:rsidP="00AD7F04">
      <w:pPr>
        <w:spacing w:line="500" w:lineRule="exact"/>
        <w:jc w:val="center"/>
        <w:rPr>
          <w:rFonts w:ascii="標楷體" w:eastAsia="標楷體" w:hAnsi="標楷體"/>
          <w:b/>
          <w:sz w:val="32"/>
          <w:szCs w:val="32"/>
        </w:rPr>
      </w:pPr>
      <w:r w:rsidRPr="00B262FA">
        <w:rPr>
          <w:rFonts w:ascii="標楷體" w:eastAsia="標楷體" w:hAnsi="標楷體" w:hint="eastAsia"/>
          <w:b/>
          <w:sz w:val="32"/>
          <w:szCs w:val="32"/>
        </w:rPr>
        <w:t>銀行銷戶處理程序自律規範</w:t>
      </w:r>
    </w:p>
    <w:p w:rsidR="00B262FA" w:rsidRPr="00B262FA" w:rsidRDefault="00B262FA" w:rsidP="00B262FA">
      <w:pPr>
        <w:spacing w:line="520" w:lineRule="exact"/>
        <w:jc w:val="center"/>
        <w:rPr>
          <w:rFonts w:ascii="標楷體" w:eastAsia="標楷體" w:hAnsi="標楷體"/>
          <w:b/>
          <w:sz w:val="32"/>
          <w:szCs w:val="32"/>
        </w:rPr>
      </w:pPr>
    </w:p>
    <w:p w:rsidR="00492C0F" w:rsidRDefault="00492C0F" w:rsidP="001205A6">
      <w:pPr>
        <w:ind w:leftChars="1960" w:left="4704"/>
        <w:rPr>
          <w:rFonts w:ascii="標楷體" w:eastAsia="標楷體" w:hAnsi="標楷體"/>
          <w:sz w:val="22"/>
          <w:szCs w:val="22"/>
        </w:rPr>
      </w:pPr>
      <w:r w:rsidRPr="00B262FA">
        <w:rPr>
          <w:rFonts w:ascii="標楷體" w:eastAsia="標楷體" w:hAnsi="標楷體" w:hint="eastAsia"/>
          <w:sz w:val="22"/>
          <w:szCs w:val="22"/>
        </w:rPr>
        <w:t>行政院金融監督管理委員會銀行局</w:t>
      </w:r>
      <w:smartTag w:uri="urn:schemas-microsoft-com:office:smarttags" w:element="chsdate">
        <w:smartTagPr>
          <w:attr w:name="Year" w:val="1994"/>
          <w:attr w:name="Month" w:val="1"/>
          <w:attr w:name="Day" w:val="11"/>
          <w:attr w:name="IsLunarDate" w:val="False"/>
          <w:attr w:name="IsROCDate" w:val="False"/>
        </w:smartTagPr>
        <w:r w:rsidRPr="00B262FA">
          <w:rPr>
            <w:rFonts w:ascii="標楷體" w:eastAsia="標楷體" w:hAnsi="標楷體" w:hint="eastAsia"/>
            <w:sz w:val="22"/>
            <w:szCs w:val="22"/>
          </w:rPr>
          <w:t>94年1月 11</w:t>
        </w:r>
      </w:smartTag>
      <w:r w:rsidRPr="00B262FA">
        <w:rPr>
          <w:rFonts w:ascii="標楷體" w:eastAsia="標楷體" w:hAnsi="標楷體" w:hint="eastAsia"/>
          <w:sz w:val="22"/>
          <w:szCs w:val="22"/>
        </w:rPr>
        <w:t>日銀局（一）字第0948010021號函准予備查</w:t>
      </w:r>
    </w:p>
    <w:p w:rsidR="002D0447" w:rsidRPr="002D0447" w:rsidRDefault="002D0447" w:rsidP="002D0447">
      <w:pPr>
        <w:ind w:leftChars="1960" w:left="4704"/>
        <w:rPr>
          <w:rFonts w:ascii="標楷體" w:eastAsia="標楷體" w:hAnsi="標楷體"/>
          <w:sz w:val="22"/>
          <w:szCs w:val="22"/>
        </w:rPr>
      </w:pPr>
      <w:r w:rsidRPr="002D0447">
        <w:rPr>
          <w:rFonts w:ascii="標楷體" w:eastAsia="標楷體" w:hAnsi="標楷體" w:hint="eastAsia"/>
          <w:sz w:val="22"/>
          <w:szCs w:val="22"/>
        </w:rPr>
        <w:t>金融監督管理委員會102年8月30日</w:t>
      </w:r>
    </w:p>
    <w:p w:rsidR="002D0447" w:rsidRDefault="002D0447" w:rsidP="002D0447">
      <w:pPr>
        <w:ind w:leftChars="1960" w:left="4704"/>
        <w:rPr>
          <w:rFonts w:ascii="標楷體" w:eastAsia="標楷體" w:hAnsi="標楷體"/>
          <w:sz w:val="22"/>
          <w:szCs w:val="22"/>
        </w:rPr>
      </w:pPr>
      <w:r w:rsidRPr="002D0447">
        <w:rPr>
          <w:rFonts w:ascii="標楷體" w:eastAsia="標楷體" w:hAnsi="標楷體" w:hint="eastAsia"/>
          <w:sz w:val="22"/>
          <w:szCs w:val="22"/>
        </w:rPr>
        <w:t>金管銀法字第10200247510號函准予備查</w:t>
      </w:r>
    </w:p>
    <w:p w:rsidR="005E3917" w:rsidRPr="002D0447" w:rsidRDefault="005E3917" w:rsidP="005E3917">
      <w:pPr>
        <w:ind w:leftChars="1960" w:left="4704"/>
        <w:rPr>
          <w:rFonts w:ascii="標楷體" w:eastAsia="標楷體" w:hAnsi="標楷體"/>
          <w:sz w:val="22"/>
          <w:szCs w:val="22"/>
        </w:rPr>
      </w:pPr>
      <w:r w:rsidRPr="002D0447">
        <w:rPr>
          <w:rFonts w:ascii="標楷體" w:eastAsia="標楷體" w:hAnsi="標楷體" w:hint="eastAsia"/>
          <w:sz w:val="22"/>
          <w:szCs w:val="22"/>
        </w:rPr>
        <w:t>金融監督管理委員會</w:t>
      </w:r>
      <w:r w:rsidR="002662AB">
        <w:rPr>
          <w:rFonts w:ascii="標楷體" w:eastAsia="標楷體" w:hAnsi="標楷體" w:hint="eastAsia"/>
          <w:sz w:val="22"/>
          <w:szCs w:val="22"/>
        </w:rPr>
        <w:t>104</w:t>
      </w:r>
      <w:r w:rsidRPr="002D0447">
        <w:rPr>
          <w:rFonts w:ascii="標楷體" w:eastAsia="標楷體" w:hAnsi="標楷體" w:hint="eastAsia"/>
          <w:sz w:val="22"/>
          <w:szCs w:val="22"/>
        </w:rPr>
        <w:t>年</w:t>
      </w:r>
      <w:r w:rsidR="002662AB">
        <w:rPr>
          <w:rFonts w:ascii="標楷體" w:eastAsia="標楷體" w:hAnsi="標楷體" w:hint="eastAsia"/>
          <w:sz w:val="22"/>
          <w:szCs w:val="22"/>
        </w:rPr>
        <w:t>1</w:t>
      </w:r>
      <w:r w:rsidRPr="002D0447">
        <w:rPr>
          <w:rFonts w:ascii="標楷體" w:eastAsia="標楷體" w:hAnsi="標楷體" w:hint="eastAsia"/>
          <w:sz w:val="22"/>
          <w:szCs w:val="22"/>
        </w:rPr>
        <w:t>月</w:t>
      </w:r>
      <w:r w:rsidR="002662AB">
        <w:rPr>
          <w:rFonts w:ascii="標楷體" w:eastAsia="標楷體" w:hAnsi="標楷體" w:hint="eastAsia"/>
          <w:sz w:val="22"/>
          <w:szCs w:val="22"/>
        </w:rPr>
        <w:t>13</w:t>
      </w:r>
      <w:r w:rsidRPr="002D0447">
        <w:rPr>
          <w:rFonts w:ascii="標楷體" w:eastAsia="標楷體" w:hAnsi="標楷體" w:hint="eastAsia"/>
          <w:sz w:val="22"/>
          <w:szCs w:val="22"/>
        </w:rPr>
        <w:t>日</w:t>
      </w:r>
    </w:p>
    <w:p w:rsidR="0013345F" w:rsidRPr="002D0447" w:rsidRDefault="002662AB" w:rsidP="005E3917">
      <w:pPr>
        <w:ind w:leftChars="1960" w:left="4704"/>
        <w:rPr>
          <w:rFonts w:ascii="標楷體" w:eastAsia="標楷體" w:hAnsi="標楷體"/>
          <w:sz w:val="22"/>
          <w:szCs w:val="22"/>
        </w:rPr>
      </w:pPr>
      <w:r>
        <w:rPr>
          <w:rFonts w:ascii="標楷體" w:eastAsia="標楷體" w:hAnsi="標楷體" w:hint="eastAsia"/>
          <w:sz w:val="22"/>
          <w:szCs w:val="22"/>
        </w:rPr>
        <w:t>金管銀國</w:t>
      </w:r>
      <w:r w:rsidR="005E3917" w:rsidRPr="002D0447">
        <w:rPr>
          <w:rFonts w:ascii="標楷體" w:eastAsia="標楷體" w:hAnsi="標楷體" w:hint="eastAsia"/>
          <w:sz w:val="22"/>
          <w:szCs w:val="22"/>
        </w:rPr>
        <w:t>字第</w:t>
      </w:r>
      <w:r>
        <w:rPr>
          <w:rFonts w:ascii="標楷體" w:eastAsia="標楷體" w:hAnsi="標楷體" w:hint="eastAsia"/>
          <w:sz w:val="22"/>
          <w:szCs w:val="22"/>
        </w:rPr>
        <w:t>10300348710</w:t>
      </w:r>
      <w:r w:rsidR="005E3917" w:rsidRPr="002D0447">
        <w:rPr>
          <w:rFonts w:ascii="標楷體" w:eastAsia="標楷體" w:hAnsi="標楷體" w:hint="eastAsia"/>
          <w:sz w:val="22"/>
          <w:szCs w:val="22"/>
        </w:rPr>
        <w:t>號函准予備查</w:t>
      </w:r>
    </w:p>
    <w:p w:rsidR="00492C0F" w:rsidRPr="00E4460D" w:rsidRDefault="00492C0F" w:rsidP="00AD7F04">
      <w:pPr>
        <w:spacing w:line="500" w:lineRule="exact"/>
        <w:ind w:left="3840" w:hangingChars="1600" w:hanging="3840"/>
        <w:rPr>
          <w:rFonts w:ascii="標楷體" w:eastAsia="標楷體" w:hAnsi="標楷體"/>
          <w:szCs w:val="36"/>
        </w:rPr>
      </w:pPr>
    </w:p>
    <w:p w:rsidR="00492C0F" w:rsidRPr="002662AB" w:rsidRDefault="00492C0F" w:rsidP="00AD7F04">
      <w:pPr>
        <w:spacing w:line="500" w:lineRule="exact"/>
        <w:ind w:left="1120" w:hangingChars="400" w:hanging="1120"/>
        <w:rPr>
          <w:rFonts w:ascii="標楷體" w:eastAsia="標楷體" w:hAnsi="標楷體"/>
          <w:sz w:val="28"/>
          <w:szCs w:val="28"/>
        </w:rPr>
      </w:pPr>
      <w:r w:rsidRPr="002662AB">
        <w:rPr>
          <w:rFonts w:ascii="標楷體" w:eastAsia="標楷體" w:hAnsi="標楷體" w:hint="eastAsia"/>
          <w:sz w:val="28"/>
          <w:szCs w:val="28"/>
        </w:rPr>
        <w:t>第一條  本規範依據財政部</w:t>
      </w:r>
      <w:smartTag w:uri="urn:schemas-microsoft-com:office:smarttags" w:element="chsdate">
        <w:smartTagPr>
          <w:attr w:name="Year" w:val="1984"/>
          <w:attr w:name="Month" w:val="2"/>
          <w:attr w:name="Day" w:val="6"/>
          <w:attr w:name="IsLunarDate" w:val="False"/>
          <w:attr w:name="IsROCDate" w:val="False"/>
        </w:smartTagPr>
        <w:r w:rsidRPr="002662AB">
          <w:rPr>
            <w:rFonts w:ascii="標楷體" w:eastAsia="標楷體" w:hAnsi="標楷體" w:hint="eastAsia"/>
            <w:sz w:val="28"/>
            <w:szCs w:val="28"/>
          </w:rPr>
          <w:t>84年2月6日</w:t>
        </w:r>
      </w:smartTag>
      <w:r w:rsidRPr="002662AB">
        <w:rPr>
          <w:rFonts w:ascii="標楷體" w:eastAsia="標楷體" w:hAnsi="標楷體" w:hint="eastAsia"/>
          <w:sz w:val="28"/>
          <w:szCs w:val="28"/>
        </w:rPr>
        <w:t>台財融字第84701887號函、</w:t>
      </w:r>
      <w:smartTag w:uri="urn:schemas-microsoft-com:office:smarttags" w:element="chsdate">
        <w:smartTagPr>
          <w:attr w:name="Year" w:val="1984"/>
          <w:attr w:name="Month" w:val="11"/>
          <w:attr w:name="Day" w:val="3"/>
          <w:attr w:name="IsLunarDate" w:val="False"/>
          <w:attr w:name="IsROCDate" w:val="False"/>
        </w:smartTagPr>
        <w:r w:rsidRPr="002662AB">
          <w:rPr>
            <w:rFonts w:ascii="標楷體" w:eastAsia="標楷體" w:hAnsi="標楷體" w:hint="eastAsia"/>
            <w:sz w:val="28"/>
            <w:szCs w:val="28"/>
          </w:rPr>
          <w:t>84年11月3日</w:t>
        </w:r>
      </w:smartTag>
      <w:r w:rsidRPr="002662AB">
        <w:rPr>
          <w:rFonts w:ascii="標楷體" w:eastAsia="標楷體" w:hAnsi="標楷體" w:hint="eastAsia"/>
          <w:sz w:val="28"/>
          <w:szCs w:val="28"/>
        </w:rPr>
        <w:t>台財融字第84781242號函及93年4月20日台融局﹙一﹚字第0938010618號函訂定。</w:t>
      </w:r>
    </w:p>
    <w:p w:rsidR="00492C0F" w:rsidRPr="002662AB" w:rsidRDefault="00492C0F" w:rsidP="00AD7F04">
      <w:pPr>
        <w:spacing w:line="500" w:lineRule="exact"/>
        <w:ind w:left="1120" w:hangingChars="400" w:hanging="1120"/>
        <w:rPr>
          <w:rFonts w:ascii="標楷體" w:eastAsia="標楷體" w:hAnsi="標楷體"/>
          <w:sz w:val="28"/>
          <w:szCs w:val="28"/>
        </w:rPr>
      </w:pPr>
      <w:r w:rsidRPr="002662AB">
        <w:rPr>
          <w:rFonts w:ascii="標楷體" w:eastAsia="標楷體" w:hAnsi="標楷體" w:hint="eastAsia"/>
          <w:sz w:val="28"/>
          <w:szCs w:val="28"/>
        </w:rPr>
        <w:t>第二條</w:t>
      </w:r>
      <w:r w:rsidRPr="002662AB">
        <w:rPr>
          <w:rFonts w:ascii="標楷體" w:eastAsia="標楷體" w:hAnsi="標楷體" w:hint="eastAsia"/>
          <w:sz w:val="28"/>
          <w:szCs w:val="28"/>
        </w:rPr>
        <w:tab/>
        <w:t>銀行辦理個人或公司行號團體所開立之新台幣或外幣活期性存款及新台幣支票存款結清銷戶時，除銀行與存戶另有約定外，得依下列方式辦理：</w:t>
      </w:r>
    </w:p>
    <w:p w:rsidR="00AE19DF" w:rsidRPr="002662AB" w:rsidRDefault="00AE19DF" w:rsidP="00AE19DF">
      <w:pPr>
        <w:pStyle w:val="a7"/>
        <w:numPr>
          <w:ilvl w:val="0"/>
          <w:numId w:val="1"/>
        </w:numPr>
        <w:spacing w:line="500" w:lineRule="exact"/>
        <w:ind w:leftChars="0" w:left="1708" w:hanging="574"/>
        <w:rPr>
          <w:rFonts w:ascii="標楷體" w:eastAsia="標楷體" w:hAnsi="標楷體"/>
          <w:sz w:val="28"/>
          <w:szCs w:val="28"/>
        </w:rPr>
      </w:pPr>
      <w:r w:rsidRPr="002662AB">
        <w:rPr>
          <w:rFonts w:ascii="標楷體" w:eastAsia="標楷體" w:hAnsi="標楷體" w:hint="eastAsia"/>
          <w:sz w:val="28"/>
          <w:szCs w:val="28"/>
        </w:rPr>
        <w:t>以臨櫃方式受理結清銷戶</w:t>
      </w:r>
    </w:p>
    <w:p w:rsidR="00492C0F" w:rsidRPr="002662AB" w:rsidRDefault="00492C0F" w:rsidP="00AE19DF">
      <w:pPr>
        <w:pStyle w:val="a7"/>
        <w:spacing w:line="500" w:lineRule="exact"/>
        <w:ind w:leftChars="717" w:left="1721"/>
        <w:rPr>
          <w:rFonts w:ascii="標楷體" w:eastAsia="標楷體" w:hAnsi="標楷體"/>
          <w:sz w:val="28"/>
          <w:szCs w:val="28"/>
        </w:rPr>
      </w:pPr>
      <w:r w:rsidRPr="002662AB">
        <w:rPr>
          <w:rFonts w:ascii="標楷體" w:eastAsia="標楷體" w:hAnsi="標楷體" w:hint="eastAsia"/>
          <w:sz w:val="28"/>
          <w:szCs w:val="28"/>
        </w:rPr>
        <w:t>存戶本人親自辦理，本人如因特殊情況無法親自辦理結清銷戶時得委託代理人為之，該代理人除應出具授權書外，銀行並應確認本人及代理人之身分。</w:t>
      </w:r>
    </w:p>
    <w:p w:rsidR="00AE19DF" w:rsidRPr="002662AB" w:rsidRDefault="00AE19DF" w:rsidP="00AE19DF">
      <w:pPr>
        <w:pStyle w:val="a7"/>
        <w:numPr>
          <w:ilvl w:val="0"/>
          <w:numId w:val="1"/>
        </w:numPr>
        <w:spacing w:line="500" w:lineRule="exact"/>
        <w:ind w:leftChars="0" w:left="1722" w:hanging="574"/>
        <w:rPr>
          <w:rFonts w:ascii="標楷體" w:eastAsia="標楷體" w:hAnsi="標楷體"/>
          <w:sz w:val="28"/>
          <w:szCs w:val="28"/>
        </w:rPr>
      </w:pPr>
      <w:r w:rsidRPr="002662AB">
        <w:rPr>
          <w:rFonts w:ascii="標楷體" w:eastAsia="標楷體" w:hAnsi="標楷體" w:hint="eastAsia"/>
          <w:sz w:val="28"/>
          <w:szCs w:val="28"/>
        </w:rPr>
        <w:t>以郵寄方式受理結清銷戶</w:t>
      </w:r>
    </w:p>
    <w:p w:rsidR="00492C0F" w:rsidRPr="002662AB" w:rsidRDefault="00492C0F" w:rsidP="00AE19DF">
      <w:pPr>
        <w:spacing w:line="500" w:lineRule="exact"/>
        <w:ind w:leftChars="729" w:left="1750"/>
        <w:rPr>
          <w:rFonts w:ascii="標楷體" w:eastAsia="標楷體" w:hAnsi="標楷體"/>
          <w:sz w:val="28"/>
          <w:szCs w:val="28"/>
        </w:rPr>
      </w:pPr>
      <w:r w:rsidRPr="002662AB">
        <w:rPr>
          <w:rFonts w:ascii="標楷體" w:eastAsia="標楷體" w:hAnsi="標楷體" w:hint="eastAsia"/>
          <w:sz w:val="28"/>
          <w:szCs w:val="28"/>
        </w:rPr>
        <w:t xml:space="preserve">存戶以郵寄結清銷戶申請書方式辦理時，帳戶餘額以不超過新台幣壹拾萬元（或等值外幣）為限，銀行應以電話或其他方式確認存戶身分，並完成下列審核手續後，辦理結清銷戶： </w:t>
      </w:r>
    </w:p>
    <w:p w:rsidR="00492C0F" w:rsidRPr="002662AB" w:rsidRDefault="00492C0F" w:rsidP="00AE19DF">
      <w:pPr>
        <w:pStyle w:val="a7"/>
        <w:numPr>
          <w:ilvl w:val="0"/>
          <w:numId w:val="2"/>
        </w:numPr>
        <w:tabs>
          <w:tab w:val="left" w:pos="2296"/>
        </w:tabs>
        <w:spacing w:line="500" w:lineRule="exact"/>
        <w:ind w:leftChars="0" w:left="2296" w:hanging="854"/>
        <w:rPr>
          <w:rFonts w:ascii="標楷體" w:eastAsia="標楷體" w:hAnsi="標楷體"/>
          <w:sz w:val="28"/>
          <w:szCs w:val="28"/>
        </w:rPr>
      </w:pPr>
      <w:r w:rsidRPr="002662AB">
        <w:rPr>
          <w:rFonts w:ascii="標楷體" w:eastAsia="標楷體" w:hAnsi="標楷體" w:hint="eastAsia"/>
          <w:sz w:val="28"/>
          <w:szCs w:val="28"/>
        </w:rPr>
        <w:t>帳戶仍有餘額者，銀行得於扣除相關費用後，依申請書指示之方式辦理，存戶得選擇開立本人抬頭且劃線禁止背書轉讓之支票或指示匯入本人之其他帳戶。存戶如選擇將帳戶餘額匯入其於他行之帳戶，銀行得請其提供該帳戶之存摺封面影本或其他證明文件以供確認。</w:t>
      </w:r>
    </w:p>
    <w:p w:rsidR="00492C0F" w:rsidRPr="002662AB" w:rsidRDefault="00492C0F" w:rsidP="00AE19DF">
      <w:pPr>
        <w:pStyle w:val="a7"/>
        <w:numPr>
          <w:ilvl w:val="0"/>
          <w:numId w:val="2"/>
        </w:numPr>
        <w:tabs>
          <w:tab w:val="left" w:pos="2296"/>
        </w:tabs>
        <w:spacing w:line="500" w:lineRule="exact"/>
        <w:ind w:leftChars="0" w:left="2296" w:hanging="854"/>
        <w:rPr>
          <w:rFonts w:ascii="標楷體" w:eastAsia="標楷體" w:hAnsi="標楷體"/>
          <w:sz w:val="28"/>
          <w:szCs w:val="28"/>
        </w:rPr>
      </w:pPr>
      <w:r w:rsidRPr="002662AB">
        <w:rPr>
          <w:rFonts w:ascii="標楷體" w:eastAsia="標楷體" w:hAnsi="標楷體" w:hint="eastAsia"/>
          <w:sz w:val="28"/>
          <w:szCs w:val="28"/>
        </w:rPr>
        <w:t>存戶結清支票帳戶者，須將剩餘空白票據劃線作廢後一併寄</w:t>
      </w:r>
      <w:r w:rsidRPr="002662AB">
        <w:rPr>
          <w:rFonts w:ascii="標楷體" w:eastAsia="標楷體" w:hAnsi="標楷體" w:hint="eastAsia"/>
          <w:sz w:val="28"/>
          <w:szCs w:val="28"/>
        </w:rPr>
        <w:lastRenderedPageBreak/>
        <w:t>回銀行，並切結已無票據流通在外，或尚有已簽發未經提示付款之票據，存戶應填具申請書連同請兌票據等額現金匯寄銀行列收『其他應付款』科目備付。</w:t>
      </w:r>
    </w:p>
    <w:p w:rsidR="00492C0F" w:rsidRPr="002662AB" w:rsidRDefault="00492C0F" w:rsidP="00AE19DF">
      <w:pPr>
        <w:pStyle w:val="a7"/>
        <w:numPr>
          <w:ilvl w:val="0"/>
          <w:numId w:val="2"/>
        </w:numPr>
        <w:tabs>
          <w:tab w:val="left" w:pos="2296"/>
        </w:tabs>
        <w:spacing w:line="500" w:lineRule="exact"/>
        <w:ind w:leftChars="0" w:left="2296" w:hanging="854"/>
        <w:rPr>
          <w:rFonts w:ascii="標楷體" w:eastAsia="標楷體" w:hAnsi="標楷體"/>
          <w:sz w:val="28"/>
          <w:szCs w:val="28"/>
        </w:rPr>
      </w:pPr>
      <w:r w:rsidRPr="002662AB">
        <w:rPr>
          <w:rFonts w:ascii="標楷體" w:eastAsia="標楷體" w:hAnsi="標楷體" w:hint="eastAsia"/>
          <w:sz w:val="28"/>
          <w:szCs w:val="28"/>
        </w:rPr>
        <w:t>結清銷戶基準日係以銀行完成銷戶手續當日為準。</w:t>
      </w:r>
    </w:p>
    <w:p w:rsidR="005E3917" w:rsidRPr="002662AB" w:rsidRDefault="005E3917" w:rsidP="00AE19DF">
      <w:pPr>
        <w:pStyle w:val="a7"/>
        <w:numPr>
          <w:ilvl w:val="0"/>
          <w:numId w:val="1"/>
        </w:numPr>
        <w:spacing w:line="500" w:lineRule="exact"/>
        <w:ind w:leftChars="0" w:left="1722" w:hanging="560"/>
        <w:rPr>
          <w:rFonts w:ascii="標楷體" w:eastAsia="標楷體" w:hAnsi="標楷體"/>
          <w:sz w:val="28"/>
          <w:szCs w:val="28"/>
        </w:rPr>
      </w:pPr>
      <w:r w:rsidRPr="002662AB">
        <w:rPr>
          <w:rFonts w:ascii="標楷體" w:eastAsia="標楷體" w:hAnsi="標楷體" w:hint="eastAsia"/>
          <w:sz w:val="28"/>
          <w:szCs w:val="28"/>
        </w:rPr>
        <w:t>以網路方式受理結清銷戶</w:t>
      </w:r>
    </w:p>
    <w:p w:rsidR="005E3917" w:rsidRPr="002662AB" w:rsidRDefault="005E3917" w:rsidP="00AE19DF">
      <w:pPr>
        <w:spacing w:line="500" w:lineRule="exact"/>
        <w:ind w:leftChars="716" w:left="1718"/>
        <w:rPr>
          <w:rFonts w:ascii="標楷體" w:eastAsia="標楷體" w:hAnsi="標楷體"/>
          <w:sz w:val="28"/>
          <w:szCs w:val="28"/>
        </w:rPr>
      </w:pPr>
      <w:r w:rsidRPr="002662AB">
        <w:rPr>
          <w:rFonts w:ascii="標楷體" w:eastAsia="標楷體" w:hAnsi="標楷體" w:hint="eastAsia"/>
          <w:sz w:val="28"/>
          <w:szCs w:val="28"/>
        </w:rPr>
        <w:t>存戶以網路結清銷戶方式申辦時，活期性存款帳戶(不含支票存款及儲值支付帳戶)餘額以不超過新台幣伍萬元（或等值外幣）為限、支票存款帳戶餘額應為零、剩餘空白票據劃線作廢且已無票據流通在外，銀行應擬具相關配套措施，辦理結清銷戶：</w:t>
      </w:r>
    </w:p>
    <w:p w:rsidR="005E3917" w:rsidRPr="002662AB" w:rsidRDefault="005E3917" w:rsidP="00AE19DF">
      <w:pPr>
        <w:pStyle w:val="a7"/>
        <w:numPr>
          <w:ilvl w:val="0"/>
          <w:numId w:val="3"/>
        </w:numPr>
        <w:spacing w:line="500" w:lineRule="exact"/>
        <w:ind w:leftChars="0" w:left="2282" w:hanging="840"/>
        <w:rPr>
          <w:rFonts w:ascii="標楷體" w:eastAsia="標楷體" w:hAnsi="標楷體"/>
          <w:sz w:val="28"/>
          <w:szCs w:val="28"/>
        </w:rPr>
      </w:pPr>
      <w:r w:rsidRPr="002662AB">
        <w:rPr>
          <w:rFonts w:ascii="標楷體" w:eastAsia="標楷體" w:hAnsi="標楷體" w:hint="eastAsia"/>
          <w:sz w:val="28"/>
          <w:szCs w:val="28"/>
        </w:rPr>
        <w:t>應以顯著之方式，於網站網頁上揭露結清銷戶相關內容，具供存戶審閱、點選「同意」及確認功能，系統並應具備檢核機制。</w:t>
      </w:r>
    </w:p>
    <w:p w:rsidR="005E3917" w:rsidRPr="002662AB" w:rsidRDefault="005E3917" w:rsidP="00AE19DF">
      <w:pPr>
        <w:pStyle w:val="a7"/>
        <w:numPr>
          <w:ilvl w:val="0"/>
          <w:numId w:val="3"/>
        </w:numPr>
        <w:spacing w:line="500" w:lineRule="exact"/>
        <w:ind w:leftChars="0" w:left="2282" w:hanging="840"/>
        <w:rPr>
          <w:rFonts w:ascii="標楷體" w:eastAsia="標楷體" w:hAnsi="標楷體"/>
          <w:sz w:val="28"/>
          <w:szCs w:val="28"/>
        </w:rPr>
      </w:pPr>
      <w:r w:rsidRPr="002662AB">
        <w:rPr>
          <w:rFonts w:ascii="標楷體" w:eastAsia="標楷體" w:hAnsi="標楷體" w:hint="eastAsia"/>
          <w:sz w:val="28"/>
          <w:szCs w:val="28"/>
        </w:rPr>
        <w:t>銀行應以適當方式確認存戶身分。</w:t>
      </w:r>
    </w:p>
    <w:p w:rsidR="005E3917" w:rsidRPr="002662AB" w:rsidRDefault="005E3917" w:rsidP="00AE19DF">
      <w:pPr>
        <w:pStyle w:val="a7"/>
        <w:numPr>
          <w:ilvl w:val="0"/>
          <w:numId w:val="3"/>
        </w:numPr>
        <w:spacing w:line="500" w:lineRule="exact"/>
        <w:ind w:leftChars="0" w:left="2282" w:hanging="840"/>
        <w:rPr>
          <w:rFonts w:ascii="標楷體" w:eastAsia="標楷體" w:hAnsi="標楷體"/>
          <w:sz w:val="28"/>
          <w:szCs w:val="28"/>
        </w:rPr>
      </w:pPr>
      <w:r w:rsidRPr="002662AB">
        <w:rPr>
          <w:rFonts w:ascii="標楷體" w:eastAsia="標楷體" w:hAnsi="標楷體" w:hint="eastAsia"/>
          <w:sz w:val="28"/>
          <w:szCs w:val="28"/>
        </w:rPr>
        <w:t>存戶結清活期帳戶仍有餘額者，銀行得於扣除相關費用後，依存戶指示匯入本人之其他帳戶</w:t>
      </w:r>
      <w:r w:rsidR="00E97489" w:rsidRPr="002662AB">
        <w:rPr>
          <w:rFonts w:ascii="標楷體" w:eastAsia="標楷體" w:hAnsi="標楷體" w:hint="eastAsia"/>
          <w:sz w:val="28"/>
          <w:szCs w:val="28"/>
        </w:rPr>
        <w:t>，銀行應以適當方式確認</w:t>
      </w:r>
      <w:r w:rsidRPr="002662AB">
        <w:rPr>
          <w:rFonts w:ascii="標楷體" w:eastAsia="標楷體" w:hAnsi="標楷體" w:hint="eastAsia"/>
          <w:sz w:val="28"/>
          <w:szCs w:val="28"/>
        </w:rPr>
        <w:t>。</w:t>
      </w:r>
    </w:p>
    <w:p w:rsidR="00AE19DF" w:rsidRPr="002662AB" w:rsidRDefault="005E3917" w:rsidP="00AE19DF">
      <w:pPr>
        <w:pStyle w:val="a7"/>
        <w:numPr>
          <w:ilvl w:val="0"/>
          <w:numId w:val="3"/>
        </w:numPr>
        <w:spacing w:line="500" w:lineRule="exact"/>
        <w:ind w:leftChars="0" w:left="2282" w:hanging="840"/>
        <w:rPr>
          <w:rFonts w:ascii="標楷體" w:eastAsia="標楷體" w:hAnsi="標楷體"/>
          <w:sz w:val="28"/>
          <w:szCs w:val="28"/>
        </w:rPr>
      </w:pPr>
      <w:r w:rsidRPr="002662AB">
        <w:rPr>
          <w:rFonts w:ascii="標楷體" w:eastAsia="標楷體" w:hAnsi="標楷體" w:hint="eastAsia"/>
          <w:sz w:val="28"/>
          <w:szCs w:val="28"/>
        </w:rPr>
        <w:t>結清銷戶基準日係以銀行電腦系統完成銷戶當日為準。</w:t>
      </w:r>
    </w:p>
    <w:p w:rsidR="00B262FA" w:rsidRPr="002662AB" w:rsidRDefault="00B262FA" w:rsidP="006B2395">
      <w:pPr>
        <w:pStyle w:val="a7"/>
        <w:numPr>
          <w:ilvl w:val="0"/>
          <w:numId w:val="1"/>
        </w:numPr>
        <w:spacing w:line="500" w:lineRule="exact"/>
        <w:ind w:leftChars="0" w:left="1736" w:hanging="560"/>
        <w:rPr>
          <w:rFonts w:ascii="標楷體" w:eastAsia="標楷體" w:hAnsi="標楷體"/>
          <w:sz w:val="28"/>
          <w:szCs w:val="28"/>
        </w:rPr>
      </w:pPr>
      <w:r w:rsidRPr="002662AB">
        <w:rPr>
          <w:rFonts w:ascii="標楷體" w:eastAsia="標楷體" w:hAnsi="標楷體" w:hint="eastAsia"/>
          <w:sz w:val="28"/>
          <w:szCs w:val="28"/>
        </w:rPr>
        <w:t>「儲值支付帳戶」結清銷戶，應依本會所訂並經主管機關備查之「銀行受理客戶以網路方式開立儲值支付帳戶作業範本」辦理。</w:t>
      </w:r>
    </w:p>
    <w:p w:rsidR="00492C0F" w:rsidRPr="002662AB" w:rsidRDefault="00492C0F" w:rsidP="00AD7F04">
      <w:pPr>
        <w:spacing w:line="500" w:lineRule="exact"/>
        <w:ind w:left="1120" w:hangingChars="400" w:hanging="1120"/>
        <w:rPr>
          <w:rFonts w:ascii="標楷體" w:eastAsia="標楷體" w:hAnsi="標楷體"/>
          <w:sz w:val="28"/>
          <w:szCs w:val="28"/>
        </w:rPr>
      </w:pPr>
      <w:r w:rsidRPr="002662AB">
        <w:rPr>
          <w:rFonts w:ascii="標楷體" w:eastAsia="標楷體" w:hAnsi="標楷體" w:hint="eastAsia"/>
          <w:sz w:val="28"/>
          <w:szCs w:val="28"/>
        </w:rPr>
        <w:t>第三條</w:t>
      </w:r>
      <w:r w:rsidRPr="002662AB">
        <w:rPr>
          <w:rFonts w:ascii="標楷體" w:eastAsia="標楷體" w:hAnsi="標楷體"/>
          <w:sz w:val="28"/>
          <w:szCs w:val="28"/>
        </w:rPr>
        <w:tab/>
      </w:r>
      <w:r w:rsidRPr="002662AB">
        <w:rPr>
          <w:rFonts w:ascii="標楷體" w:eastAsia="標楷體" w:hAnsi="標楷體" w:hint="eastAsia"/>
          <w:sz w:val="28"/>
          <w:szCs w:val="28"/>
        </w:rPr>
        <w:t>郵寄結清銷戶申請書之内容應包括戶名、帳號、結清之意思表示、帳戶餘額處理方式及支票存款結清之相關規定。</w:t>
      </w:r>
    </w:p>
    <w:p w:rsidR="00492C0F" w:rsidRPr="002662AB" w:rsidRDefault="00492C0F" w:rsidP="00AD7F04">
      <w:pPr>
        <w:spacing w:line="500" w:lineRule="exact"/>
        <w:ind w:left="1120" w:hangingChars="400" w:hanging="1120"/>
        <w:rPr>
          <w:rFonts w:ascii="標楷體" w:eastAsia="標楷體" w:hAnsi="標楷體"/>
          <w:sz w:val="28"/>
          <w:szCs w:val="28"/>
        </w:rPr>
      </w:pPr>
      <w:r w:rsidRPr="002662AB">
        <w:rPr>
          <w:rFonts w:ascii="標楷體" w:eastAsia="標楷體" w:hAnsi="標楷體" w:hint="eastAsia"/>
          <w:sz w:val="28"/>
          <w:szCs w:val="28"/>
        </w:rPr>
        <w:t>第四條</w:t>
      </w:r>
      <w:r w:rsidRPr="002662AB">
        <w:rPr>
          <w:rFonts w:ascii="標楷體" w:eastAsia="標楷體" w:hAnsi="標楷體" w:hint="eastAsia"/>
          <w:sz w:val="28"/>
          <w:szCs w:val="28"/>
        </w:rPr>
        <w:tab/>
        <w:t>本規範未規定事項，悉依有關法令辦理。</w:t>
      </w:r>
    </w:p>
    <w:p w:rsidR="00492C0F" w:rsidRPr="002662AB" w:rsidRDefault="00492C0F" w:rsidP="00AD7F04">
      <w:pPr>
        <w:spacing w:line="500" w:lineRule="exact"/>
        <w:ind w:left="1120" w:hangingChars="400" w:hanging="1120"/>
        <w:rPr>
          <w:rFonts w:ascii="標楷體" w:eastAsia="標楷體" w:hAnsi="標楷體"/>
          <w:sz w:val="28"/>
          <w:szCs w:val="28"/>
        </w:rPr>
      </w:pPr>
      <w:r w:rsidRPr="002662AB">
        <w:rPr>
          <w:rFonts w:ascii="標楷體" w:eastAsia="標楷體" w:hAnsi="標楷體" w:hint="eastAsia"/>
          <w:sz w:val="28"/>
          <w:szCs w:val="28"/>
        </w:rPr>
        <w:t>第五條  本規範經本會理事會通過，報請主管機關核定後實施，修正時亦同。</w:t>
      </w:r>
    </w:p>
    <w:p w:rsidR="00980995" w:rsidRPr="00492C0F" w:rsidRDefault="00980995"/>
    <w:sectPr w:rsidR="00980995" w:rsidRPr="00492C0F" w:rsidSect="002F01BD">
      <w:footerReference w:type="default" r:id="rId7"/>
      <w:pgSz w:w="11906" w:h="16838" w:code="9"/>
      <w:pgMar w:top="1134" w:right="1134" w:bottom="1134" w:left="1134" w:header="113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03" w:rsidRDefault="00FB5303">
      <w:r>
        <w:separator/>
      </w:r>
    </w:p>
  </w:endnote>
  <w:endnote w:type="continuationSeparator" w:id="1">
    <w:p w:rsidR="00FB5303" w:rsidRDefault="00FB5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2996"/>
      <w:docPartObj>
        <w:docPartGallery w:val="Page Numbers (Bottom of Page)"/>
        <w:docPartUnique/>
      </w:docPartObj>
    </w:sdtPr>
    <w:sdtContent>
      <w:p w:rsidR="002662AB" w:rsidRDefault="002662AB">
        <w:pPr>
          <w:pStyle w:val="a4"/>
          <w:jc w:val="center"/>
        </w:pPr>
        <w:fldSimple w:instr=" PAGE   \* MERGEFORMAT ">
          <w:r w:rsidRPr="002662AB">
            <w:rPr>
              <w:noProof/>
              <w:lang w:val="zh-TW"/>
            </w:rPr>
            <w:t>1</w:t>
          </w:r>
        </w:fldSimple>
      </w:p>
    </w:sdtContent>
  </w:sdt>
  <w:p w:rsidR="001205A6" w:rsidRDefault="001205A6" w:rsidP="00492C0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03" w:rsidRDefault="00FB5303">
      <w:r>
        <w:separator/>
      </w:r>
    </w:p>
  </w:footnote>
  <w:footnote w:type="continuationSeparator" w:id="1">
    <w:p w:rsidR="00FB5303" w:rsidRDefault="00FB5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443"/>
    <w:multiLevelType w:val="hybridMultilevel"/>
    <w:tmpl w:val="7974CEC0"/>
    <w:lvl w:ilvl="0" w:tplc="1E2002C8">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
    <w:nsid w:val="3F41509E"/>
    <w:multiLevelType w:val="hybridMultilevel"/>
    <w:tmpl w:val="0632F656"/>
    <w:lvl w:ilvl="0" w:tplc="07E89130">
      <w:start w:val="1"/>
      <w:numFmt w:val="taiwaneseCountingThousand"/>
      <w:lvlText w:val="%1、"/>
      <w:lvlJc w:val="left"/>
      <w:pPr>
        <w:ind w:left="1997" w:hanging="720"/>
      </w:pPr>
      <w:rPr>
        <w:rFonts w:hint="default"/>
        <w:u w:val="non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
    <w:nsid w:val="6A662288"/>
    <w:multiLevelType w:val="hybridMultilevel"/>
    <w:tmpl w:val="37288CB0"/>
    <w:lvl w:ilvl="0" w:tplc="435A5A06">
      <w:start w:val="1"/>
      <w:numFmt w:val="taiwaneseCountingThousand"/>
      <w:lvlText w:val="（%1）"/>
      <w:lvlJc w:val="left"/>
      <w:pPr>
        <w:ind w:left="2666" w:hanging="720"/>
      </w:pPr>
      <w:rPr>
        <w:rFonts w:hint="default"/>
      </w:r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C0F"/>
    <w:rsid w:val="00007FA6"/>
    <w:rsid w:val="00024E04"/>
    <w:rsid w:val="000275CA"/>
    <w:rsid w:val="00071DAC"/>
    <w:rsid w:val="000778DF"/>
    <w:rsid w:val="000C59F6"/>
    <w:rsid w:val="001205A6"/>
    <w:rsid w:val="00124560"/>
    <w:rsid w:val="00132F92"/>
    <w:rsid w:val="0013345F"/>
    <w:rsid w:val="00144D5C"/>
    <w:rsid w:val="001853ED"/>
    <w:rsid w:val="001E34E9"/>
    <w:rsid w:val="001F35A2"/>
    <w:rsid w:val="002376FB"/>
    <w:rsid w:val="00245BE5"/>
    <w:rsid w:val="00246EDA"/>
    <w:rsid w:val="00252195"/>
    <w:rsid w:val="002662AB"/>
    <w:rsid w:val="002D0447"/>
    <w:rsid w:val="002D326B"/>
    <w:rsid w:val="002E2C8C"/>
    <w:rsid w:val="002F01BD"/>
    <w:rsid w:val="00305643"/>
    <w:rsid w:val="00321A73"/>
    <w:rsid w:val="00353FEA"/>
    <w:rsid w:val="003665F0"/>
    <w:rsid w:val="00385B32"/>
    <w:rsid w:val="004053E9"/>
    <w:rsid w:val="0045657A"/>
    <w:rsid w:val="0048576A"/>
    <w:rsid w:val="00492C0F"/>
    <w:rsid w:val="004953EE"/>
    <w:rsid w:val="004B0A06"/>
    <w:rsid w:val="004C3D61"/>
    <w:rsid w:val="004C7FDD"/>
    <w:rsid w:val="004F2789"/>
    <w:rsid w:val="004F7308"/>
    <w:rsid w:val="00505800"/>
    <w:rsid w:val="00576EE4"/>
    <w:rsid w:val="005E115C"/>
    <w:rsid w:val="005E3917"/>
    <w:rsid w:val="0061055A"/>
    <w:rsid w:val="00640749"/>
    <w:rsid w:val="006654E2"/>
    <w:rsid w:val="0069087B"/>
    <w:rsid w:val="006B2395"/>
    <w:rsid w:val="006D061E"/>
    <w:rsid w:val="006D6E5B"/>
    <w:rsid w:val="00715713"/>
    <w:rsid w:val="00756952"/>
    <w:rsid w:val="00767D19"/>
    <w:rsid w:val="00771791"/>
    <w:rsid w:val="00790AB8"/>
    <w:rsid w:val="007A6DFA"/>
    <w:rsid w:val="007B7DF7"/>
    <w:rsid w:val="007D224C"/>
    <w:rsid w:val="008100F8"/>
    <w:rsid w:val="00831882"/>
    <w:rsid w:val="00832F1B"/>
    <w:rsid w:val="00841F70"/>
    <w:rsid w:val="0084495F"/>
    <w:rsid w:val="00850B93"/>
    <w:rsid w:val="00865826"/>
    <w:rsid w:val="008B72A3"/>
    <w:rsid w:val="00944B5B"/>
    <w:rsid w:val="009806F9"/>
    <w:rsid w:val="00980995"/>
    <w:rsid w:val="00995885"/>
    <w:rsid w:val="009B1524"/>
    <w:rsid w:val="009D0DED"/>
    <w:rsid w:val="009E7E06"/>
    <w:rsid w:val="00A00DC7"/>
    <w:rsid w:val="00A00E21"/>
    <w:rsid w:val="00A42DDD"/>
    <w:rsid w:val="00A51E2A"/>
    <w:rsid w:val="00A546E4"/>
    <w:rsid w:val="00A75200"/>
    <w:rsid w:val="00AD7F04"/>
    <w:rsid w:val="00AE19DF"/>
    <w:rsid w:val="00B262FA"/>
    <w:rsid w:val="00BD58A8"/>
    <w:rsid w:val="00BE285B"/>
    <w:rsid w:val="00C2751F"/>
    <w:rsid w:val="00C55A16"/>
    <w:rsid w:val="00C733B3"/>
    <w:rsid w:val="00D23435"/>
    <w:rsid w:val="00D352BB"/>
    <w:rsid w:val="00D64B10"/>
    <w:rsid w:val="00D8554E"/>
    <w:rsid w:val="00DE4EBD"/>
    <w:rsid w:val="00DE558A"/>
    <w:rsid w:val="00E22196"/>
    <w:rsid w:val="00E515C3"/>
    <w:rsid w:val="00E90C7D"/>
    <w:rsid w:val="00E97489"/>
    <w:rsid w:val="00EA4D32"/>
    <w:rsid w:val="00EC5773"/>
    <w:rsid w:val="00F20B10"/>
    <w:rsid w:val="00F56C89"/>
    <w:rsid w:val="00F95BDE"/>
    <w:rsid w:val="00F96619"/>
    <w:rsid w:val="00FB53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C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2C0F"/>
    <w:pPr>
      <w:tabs>
        <w:tab w:val="center" w:pos="4153"/>
        <w:tab w:val="right" w:pos="8306"/>
      </w:tabs>
      <w:snapToGrid w:val="0"/>
    </w:pPr>
    <w:rPr>
      <w:sz w:val="20"/>
      <w:szCs w:val="20"/>
    </w:rPr>
  </w:style>
  <w:style w:type="paragraph" w:styleId="a4">
    <w:name w:val="footer"/>
    <w:basedOn w:val="a"/>
    <w:link w:val="a5"/>
    <w:uiPriority w:val="99"/>
    <w:rsid w:val="00492C0F"/>
    <w:pPr>
      <w:tabs>
        <w:tab w:val="center" w:pos="4153"/>
        <w:tab w:val="right" w:pos="8306"/>
      </w:tabs>
      <w:snapToGrid w:val="0"/>
    </w:pPr>
    <w:rPr>
      <w:sz w:val="20"/>
      <w:szCs w:val="20"/>
    </w:rPr>
  </w:style>
  <w:style w:type="paragraph" w:styleId="a6">
    <w:name w:val="Plain Text"/>
    <w:basedOn w:val="a"/>
    <w:rsid w:val="00492C0F"/>
    <w:rPr>
      <w:rFonts w:ascii="細明體" w:eastAsia="細明體" w:hAnsi="Courier New" w:cs="Courier New"/>
    </w:rPr>
  </w:style>
  <w:style w:type="paragraph" w:styleId="a7">
    <w:name w:val="List Paragraph"/>
    <w:basedOn w:val="a"/>
    <w:uiPriority w:val="34"/>
    <w:qFormat/>
    <w:rsid w:val="00AE19DF"/>
    <w:pPr>
      <w:ind w:leftChars="200" w:left="480"/>
    </w:pPr>
  </w:style>
  <w:style w:type="paragraph" w:styleId="a8">
    <w:name w:val="Balloon Text"/>
    <w:basedOn w:val="a"/>
    <w:link w:val="a9"/>
    <w:rsid w:val="004053E9"/>
    <w:rPr>
      <w:rFonts w:asciiTheme="majorHAnsi" w:eastAsiaTheme="majorEastAsia" w:hAnsiTheme="majorHAnsi" w:cstheme="majorBidi"/>
      <w:sz w:val="18"/>
      <w:szCs w:val="18"/>
    </w:rPr>
  </w:style>
  <w:style w:type="character" w:customStyle="1" w:styleId="a9">
    <w:name w:val="註解方塊文字 字元"/>
    <w:basedOn w:val="a0"/>
    <w:link w:val="a8"/>
    <w:rsid w:val="004053E9"/>
    <w:rPr>
      <w:rFonts w:asciiTheme="majorHAnsi" w:eastAsiaTheme="majorEastAsia" w:hAnsiTheme="majorHAnsi" w:cstheme="majorBidi"/>
      <w:kern w:val="2"/>
      <w:sz w:val="18"/>
      <w:szCs w:val="18"/>
    </w:rPr>
  </w:style>
  <w:style w:type="character" w:customStyle="1" w:styleId="a5">
    <w:name w:val="頁尾 字元"/>
    <w:basedOn w:val="a0"/>
    <w:link w:val="a4"/>
    <w:uiPriority w:val="99"/>
    <w:rsid w:val="002662A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銀行公會</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中華民國銀行公會</dc:title>
  <dc:creator>銀行公會</dc:creator>
  <cp:lastModifiedBy>pc2363</cp:lastModifiedBy>
  <cp:revision>2</cp:revision>
  <cp:lastPrinted>2014-11-25T08:35:00Z</cp:lastPrinted>
  <dcterms:created xsi:type="dcterms:W3CDTF">2015-01-15T02:03:00Z</dcterms:created>
  <dcterms:modified xsi:type="dcterms:W3CDTF">2015-01-15T02:03:00Z</dcterms:modified>
</cp:coreProperties>
</file>