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57CC" w:rsidRDefault="00973D2C" w:rsidP="00973D2C">
      <w:pPr>
        <w:jc w:val="center"/>
        <w:rPr>
          <w:rFonts w:ascii="標楷體" w:eastAsia="標楷體" w:hAnsi="標楷體"/>
          <w:b/>
          <w:sz w:val="32"/>
        </w:rPr>
      </w:pPr>
      <w:bookmarkStart w:id="0" w:name="_GoBack"/>
      <w:bookmarkEnd w:id="0"/>
      <w:r w:rsidRPr="00973D2C">
        <w:rPr>
          <w:rFonts w:ascii="標楷體" w:eastAsia="標楷體" w:hAnsi="標楷體" w:hint="eastAsia"/>
          <w:b/>
          <w:sz w:val="32"/>
        </w:rPr>
        <w:t>信用卡業務機構辦理行動信用卡業務安全控管作業基準</w:t>
      </w:r>
    </w:p>
    <w:p w:rsidR="009C6D77" w:rsidRPr="00887B14" w:rsidRDefault="00973D2C" w:rsidP="00973D2C">
      <w:pPr>
        <w:jc w:val="center"/>
        <w:rPr>
          <w:rFonts w:ascii="標楷體" w:eastAsia="標楷體" w:hAnsi="標楷體"/>
          <w:b/>
          <w:sz w:val="32"/>
        </w:rPr>
      </w:pPr>
      <w:r>
        <w:rPr>
          <w:rFonts w:ascii="標楷體" w:eastAsia="標楷體" w:hAnsi="標楷體" w:hint="eastAsia"/>
          <w:b/>
          <w:sz w:val="32"/>
        </w:rPr>
        <w:t>修正</w:t>
      </w:r>
      <w:r w:rsidR="007457CC">
        <w:rPr>
          <w:rFonts w:ascii="標楷體" w:eastAsia="標楷體" w:hAnsi="標楷體" w:hint="eastAsia"/>
          <w:b/>
          <w:sz w:val="32"/>
        </w:rPr>
        <w:t>草案</w:t>
      </w:r>
      <w:r>
        <w:rPr>
          <w:rFonts w:ascii="標楷體" w:eastAsia="標楷體" w:hAnsi="標楷體" w:hint="eastAsia"/>
          <w:b/>
          <w:sz w:val="32"/>
        </w:rPr>
        <w:t>對照表</w:t>
      </w: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6"/>
        <w:gridCol w:w="3174"/>
        <w:gridCol w:w="3176"/>
      </w:tblGrid>
      <w:tr w:rsidR="007457CC" w:rsidRPr="00615427" w:rsidTr="008B4252">
        <w:tc>
          <w:tcPr>
            <w:tcW w:w="1667" w:type="pct"/>
            <w:vAlign w:val="center"/>
          </w:tcPr>
          <w:p w:rsidR="007457CC" w:rsidRPr="00615427" w:rsidRDefault="007457CC" w:rsidP="008B4252">
            <w:pPr>
              <w:jc w:val="center"/>
              <w:rPr>
                <w:rFonts w:ascii="標楷體" w:eastAsia="標楷體" w:hAnsi="標楷體" w:cs="Arial"/>
                <w:color w:val="000000"/>
              </w:rPr>
            </w:pPr>
            <w:r w:rsidRPr="00615427">
              <w:rPr>
                <w:rFonts w:ascii="標楷體" w:eastAsia="標楷體" w:hAnsi="標楷體" w:cs="Arial" w:hint="eastAsia"/>
                <w:color w:val="000000"/>
              </w:rPr>
              <w:t>修正名稱</w:t>
            </w:r>
          </w:p>
        </w:tc>
        <w:tc>
          <w:tcPr>
            <w:tcW w:w="1666" w:type="pct"/>
            <w:vAlign w:val="center"/>
          </w:tcPr>
          <w:p w:rsidR="007457CC" w:rsidRPr="00615427" w:rsidRDefault="007457CC" w:rsidP="008B4252">
            <w:pPr>
              <w:jc w:val="center"/>
              <w:rPr>
                <w:rFonts w:ascii="標楷體" w:eastAsia="標楷體" w:hAnsi="標楷體" w:cs="Arial"/>
                <w:color w:val="000000"/>
              </w:rPr>
            </w:pPr>
            <w:r w:rsidRPr="00615427">
              <w:rPr>
                <w:rFonts w:ascii="標楷體" w:eastAsia="標楷體" w:hAnsi="標楷體" w:cs="Arial" w:hint="eastAsia"/>
                <w:color w:val="000000"/>
              </w:rPr>
              <w:t>現行名稱</w:t>
            </w:r>
          </w:p>
        </w:tc>
        <w:tc>
          <w:tcPr>
            <w:tcW w:w="1667" w:type="pct"/>
            <w:vAlign w:val="center"/>
          </w:tcPr>
          <w:p w:rsidR="007457CC" w:rsidRPr="00615427" w:rsidRDefault="007457CC" w:rsidP="008B4252">
            <w:pPr>
              <w:jc w:val="center"/>
              <w:rPr>
                <w:rFonts w:ascii="標楷體" w:eastAsia="標楷體" w:hAnsi="標楷體" w:cs="Arial"/>
                <w:color w:val="000000"/>
              </w:rPr>
            </w:pPr>
            <w:r w:rsidRPr="00615427">
              <w:rPr>
                <w:rFonts w:ascii="標楷體" w:eastAsia="標楷體" w:hAnsi="標楷體" w:cs="Arial" w:hint="eastAsia"/>
                <w:color w:val="000000"/>
              </w:rPr>
              <w:t>說明</w:t>
            </w:r>
          </w:p>
        </w:tc>
      </w:tr>
      <w:tr w:rsidR="007457CC" w:rsidRPr="003D1162" w:rsidTr="008B4252">
        <w:tc>
          <w:tcPr>
            <w:tcW w:w="1667" w:type="pct"/>
          </w:tcPr>
          <w:p w:rsidR="007457CC" w:rsidRPr="003D1162" w:rsidRDefault="007457CC" w:rsidP="007457CC">
            <w:pPr>
              <w:pStyle w:val="Web"/>
              <w:rPr>
                <w:rFonts w:ascii="標楷體" w:eastAsia="標楷體" w:hAnsi="標楷體" w:cs="Arial"/>
                <w:color w:val="000000"/>
              </w:rPr>
            </w:pPr>
            <w:r w:rsidRPr="007457CC">
              <w:rPr>
                <w:rFonts w:ascii="標楷體" w:eastAsia="標楷體" w:hAnsi="標楷體" w:cs="Arial" w:hint="eastAsia"/>
                <w:color w:val="000000"/>
              </w:rPr>
              <w:t>信用卡業務機構辦理</w:t>
            </w:r>
            <w:r w:rsidRPr="007457CC">
              <w:rPr>
                <w:rFonts w:ascii="標楷體" w:eastAsia="標楷體" w:hAnsi="標楷體" w:cs="Arial" w:hint="eastAsia"/>
                <w:b/>
                <w:color w:val="000000"/>
                <w:u w:val="single"/>
              </w:rPr>
              <w:t>行動</w:t>
            </w:r>
            <w:r w:rsidRPr="007457CC">
              <w:rPr>
                <w:rFonts w:ascii="標楷體" w:eastAsia="標楷體" w:hAnsi="標楷體" w:cs="Arial" w:hint="eastAsia"/>
                <w:color w:val="000000"/>
              </w:rPr>
              <w:t>信用卡業務安全控管作業基準</w:t>
            </w:r>
          </w:p>
        </w:tc>
        <w:tc>
          <w:tcPr>
            <w:tcW w:w="1666" w:type="pct"/>
          </w:tcPr>
          <w:p w:rsidR="007457CC" w:rsidRPr="003D1162" w:rsidRDefault="007457CC" w:rsidP="007457CC">
            <w:pPr>
              <w:pStyle w:val="Web"/>
              <w:rPr>
                <w:rFonts w:ascii="標楷體" w:eastAsia="標楷體" w:hAnsi="標楷體" w:cs="Arial"/>
                <w:color w:val="000000"/>
              </w:rPr>
            </w:pPr>
            <w:r w:rsidRPr="007457CC">
              <w:rPr>
                <w:rFonts w:ascii="標楷體" w:eastAsia="標楷體" w:hAnsi="標楷體" w:cs="Arial" w:hint="eastAsia"/>
                <w:color w:val="000000"/>
              </w:rPr>
              <w:t>信用卡業務機構辦理</w:t>
            </w:r>
            <w:r w:rsidRPr="007457CC">
              <w:rPr>
                <w:rFonts w:ascii="標楷體" w:eastAsia="標楷體" w:hAnsi="標楷體" w:cs="Arial" w:hint="eastAsia"/>
                <w:color w:val="000000"/>
                <w:u w:val="single"/>
              </w:rPr>
              <w:t>手機</w:t>
            </w:r>
            <w:r w:rsidRPr="007457CC">
              <w:rPr>
                <w:rFonts w:ascii="標楷體" w:eastAsia="標楷體" w:hAnsi="標楷體" w:cs="Arial" w:hint="eastAsia"/>
                <w:color w:val="000000"/>
              </w:rPr>
              <w:t>信用卡業務安全控管作業基準</w:t>
            </w:r>
          </w:p>
        </w:tc>
        <w:tc>
          <w:tcPr>
            <w:tcW w:w="1667" w:type="pct"/>
          </w:tcPr>
          <w:p w:rsidR="007457CC" w:rsidRPr="003D1162" w:rsidRDefault="004040F0" w:rsidP="00E87AEB">
            <w:pPr>
              <w:jc w:val="both"/>
              <w:rPr>
                <w:rFonts w:ascii="標楷體" w:eastAsia="標楷體" w:hAnsi="標楷體"/>
                <w:color w:val="000000"/>
              </w:rPr>
            </w:pPr>
            <w:r>
              <w:rPr>
                <w:rFonts w:ascii="標楷體" w:eastAsia="標楷體" w:hAnsi="標楷體" w:cs="Arial" w:hint="eastAsia"/>
                <w:color w:val="000000"/>
              </w:rPr>
              <w:t>鑒於</w:t>
            </w:r>
            <w:r w:rsidRPr="004040F0">
              <w:rPr>
                <w:rFonts w:ascii="標楷體" w:eastAsia="標楷體" w:hAnsi="標楷體" w:cs="Arial" w:hint="eastAsia"/>
                <w:color w:val="000000"/>
              </w:rPr>
              <w:t>行動信用卡之載具不限手機，</w:t>
            </w:r>
            <w:r w:rsidR="00E87AEB">
              <w:rPr>
                <w:rFonts w:ascii="標楷體" w:eastAsia="標楷體" w:hAnsi="標楷體" w:cs="Arial" w:hint="eastAsia"/>
                <w:color w:val="000000"/>
              </w:rPr>
              <w:t>爰將「手機信用卡」</w:t>
            </w:r>
            <w:r w:rsidRPr="004040F0">
              <w:rPr>
                <w:rFonts w:ascii="標楷體" w:eastAsia="標楷體" w:hAnsi="標楷體" w:cs="Arial" w:hint="eastAsia"/>
                <w:color w:val="000000"/>
              </w:rPr>
              <w:t>修正</w:t>
            </w:r>
            <w:r w:rsidR="00E87AEB">
              <w:rPr>
                <w:rFonts w:ascii="標楷體" w:eastAsia="標楷體" w:hAnsi="標楷體" w:cs="Arial" w:hint="eastAsia"/>
                <w:color w:val="000000"/>
              </w:rPr>
              <w:t>為「</w:t>
            </w:r>
            <w:r w:rsidR="00E87AEB" w:rsidRPr="00E87AEB">
              <w:rPr>
                <w:rFonts w:ascii="標楷體" w:eastAsia="標楷體" w:hAnsi="標楷體" w:cs="Arial" w:hint="eastAsia"/>
                <w:color w:val="000000"/>
              </w:rPr>
              <w:t>行動信用卡</w:t>
            </w:r>
            <w:r w:rsidR="00E87AEB">
              <w:rPr>
                <w:rFonts w:ascii="標楷體" w:eastAsia="標楷體" w:hAnsi="標楷體" w:cs="Arial" w:hint="eastAsia"/>
                <w:color w:val="000000"/>
              </w:rPr>
              <w:t>」予以</w:t>
            </w:r>
            <w:r w:rsidRPr="004040F0">
              <w:rPr>
                <w:rFonts w:ascii="標楷體" w:eastAsia="標楷體" w:hAnsi="標楷體" w:cs="Arial" w:hint="eastAsia"/>
                <w:color w:val="000000"/>
              </w:rPr>
              <w:t>更名</w:t>
            </w:r>
            <w:r w:rsidR="00E87AEB">
              <w:rPr>
                <w:rFonts w:ascii="標楷體" w:eastAsia="標楷體" w:hAnsi="標楷體" w:cs="Arial" w:hint="eastAsia"/>
                <w:color w:val="000000"/>
              </w:rPr>
              <w:t>；規範內容涉及相關名詞併同修正</w:t>
            </w:r>
            <w:r w:rsidR="007457CC" w:rsidRPr="003D1162">
              <w:rPr>
                <w:rFonts w:ascii="標楷體" w:eastAsia="標楷體" w:hAnsi="標楷體" w:cs="Arial"/>
                <w:color w:val="000000"/>
              </w:rPr>
              <w:t>。</w:t>
            </w:r>
          </w:p>
        </w:tc>
      </w:tr>
    </w:tbl>
    <w:p w:rsidR="00CA2F18" w:rsidRDefault="00CA2F18">
      <w:pPr>
        <w:rPr>
          <w:rFonts w:ascii="標楷體" w:eastAsia="標楷體" w:hAnsi="標楷體"/>
        </w:rPr>
      </w:pPr>
    </w:p>
    <w:tbl>
      <w:tblPr>
        <w:tblW w:w="4936" w:type="pct"/>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5"/>
        <w:gridCol w:w="3146"/>
        <w:gridCol w:w="3144"/>
      </w:tblGrid>
      <w:tr w:rsidR="00CA2F18" w:rsidRPr="00887B14" w:rsidTr="0035201A">
        <w:trPr>
          <w:tblHeader/>
        </w:trPr>
        <w:tc>
          <w:tcPr>
            <w:tcW w:w="1691" w:type="pct"/>
            <w:tcBorders>
              <w:top w:val="single" w:sz="4" w:space="0" w:color="auto"/>
              <w:left w:val="single" w:sz="4" w:space="0" w:color="auto"/>
              <w:bottom w:val="single" w:sz="4" w:space="0" w:color="auto"/>
              <w:right w:val="single" w:sz="4" w:space="0" w:color="auto"/>
            </w:tcBorders>
            <w:hideMark/>
          </w:tcPr>
          <w:p w:rsidR="00CA2F18" w:rsidRPr="00887B14" w:rsidRDefault="00CA2F18">
            <w:pPr>
              <w:kinsoku w:val="0"/>
              <w:overflowPunct w:val="0"/>
              <w:ind w:left="480" w:hangingChars="200" w:hanging="480"/>
              <w:jc w:val="center"/>
              <w:rPr>
                <w:rFonts w:ascii="標楷體" w:eastAsia="標楷體" w:hAnsi="標楷體"/>
                <w:szCs w:val="24"/>
              </w:rPr>
            </w:pPr>
            <w:r w:rsidRPr="00887B14">
              <w:rPr>
                <w:rFonts w:ascii="標楷體" w:eastAsia="標楷體" w:hAnsi="標楷體" w:hint="eastAsia"/>
              </w:rPr>
              <w:t>修正條文</w:t>
            </w:r>
          </w:p>
        </w:tc>
        <w:tc>
          <w:tcPr>
            <w:tcW w:w="1655" w:type="pct"/>
            <w:tcBorders>
              <w:top w:val="single" w:sz="4" w:space="0" w:color="auto"/>
              <w:left w:val="single" w:sz="4" w:space="0" w:color="auto"/>
              <w:bottom w:val="single" w:sz="4" w:space="0" w:color="auto"/>
              <w:right w:val="single" w:sz="4" w:space="0" w:color="auto"/>
            </w:tcBorders>
            <w:hideMark/>
          </w:tcPr>
          <w:p w:rsidR="00CA2F18" w:rsidRPr="00887B14" w:rsidRDefault="00CA2F18">
            <w:pPr>
              <w:kinsoku w:val="0"/>
              <w:overflowPunct w:val="0"/>
              <w:ind w:left="480" w:hangingChars="200" w:hanging="480"/>
              <w:jc w:val="center"/>
              <w:rPr>
                <w:rFonts w:ascii="標楷體" w:eastAsia="標楷體" w:hAnsi="標楷體"/>
                <w:szCs w:val="24"/>
              </w:rPr>
            </w:pPr>
            <w:r w:rsidRPr="00887B14">
              <w:rPr>
                <w:rFonts w:ascii="標楷體" w:eastAsia="標楷體" w:hAnsi="標楷體" w:hint="eastAsia"/>
              </w:rPr>
              <w:t>現行條文</w:t>
            </w:r>
          </w:p>
        </w:tc>
        <w:tc>
          <w:tcPr>
            <w:tcW w:w="1654" w:type="pct"/>
            <w:tcBorders>
              <w:top w:val="single" w:sz="4" w:space="0" w:color="auto"/>
              <w:left w:val="single" w:sz="4" w:space="0" w:color="auto"/>
              <w:bottom w:val="single" w:sz="4" w:space="0" w:color="auto"/>
              <w:right w:val="single" w:sz="4" w:space="0" w:color="auto"/>
            </w:tcBorders>
            <w:hideMark/>
          </w:tcPr>
          <w:p w:rsidR="00CA2F18" w:rsidRPr="00887B14" w:rsidRDefault="00CA2F18">
            <w:pPr>
              <w:kinsoku w:val="0"/>
              <w:overflowPunct w:val="0"/>
              <w:ind w:left="480" w:hangingChars="200" w:hanging="480"/>
              <w:jc w:val="center"/>
              <w:rPr>
                <w:rFonts w:ascii="標楷體" w:eastAsia="標楷體" w:hAnsi="標楷體"/>
                <w:szCs w:val="24"/>
              </w:rPr>
            </w:pPr>
            <w:r w:rsidRPr="00887B14">
              <w:rPr>
                <w:rFonts w:ascii="標楷體" w:eastAsia="標楷體" w:hAnsi="標楷體" w:hint="eastAsia"/>
              </w:rPr>
              <w:t>說明</w:t>
            </w:r>
          </w:p>
        </w:tc>
      </w:tr>
      <w:tr w:rsidR="00A80B4B" w:rsidRPr="00887B14" w:rsidTr="00FD4E6F">
        <w:tc>
          <w:tcPr>
            <w:tcW w:w="1691" w:type="pct"/>
            <w:tcBorders>
              <w:top w:val="single" w:sz="4" w:space="0" w:color="auto"/>
              <w:left w:val="single" w:sz="4" w:space="0" w:color="auto"/>
              <w:bottom w:val="single" w:sz="4" w:space="0" w:color="auto"/>
              <w:right w:val="single" w:sz="4" w:space="0" w:color="auto"/>
            </w:tcBorders>
            <w:hideMark/>
          </w:tcPr>
          <w:p w:rsidR="00A80B4B" w:rsidRDefault="00A80B4B" w:rsidP="00A80B4B">
            <w:pPr>
              <w:kinsoku w:val="0"/>
              <w:overflowPunct w:val="0"/>
              <w:ind w:left="953" w:hangingChars="397" w:hanging="953"/>
              <w:rPr>
                <w:rFonts w:ascii="標楷體" w:eastAsia="標楷體" w:hAnsi="標楷體"/>
                <w:szCs w:val="24"/>
              </w:rPr>
            </w:pPr>
            <w:r w:rsidRPr="00A80B4B">
              <w:rPr>
                <w:rFonts w:ascii="標楷體" w:eastAsia="標楷體" w:hAnsi="標楷體" w:hint="eastAsia"/>
                <w:szCs w:val="24"/>
              </w:rPr>
              <w:t>第二章、</w:t>
            </w:r>
            <w:r w:rsidRPr="00A80B4B">
              <w:rPr>
                <w:rFonts w:ascii="標楷體" w:eastAsia="標楷體" w:hAnsi="標楷體" w:hint="eastAsia"/>
                <w:b/>
                <w:szCs w:val="24"/>
                <w:u w:val="single"/>
              </w:rPr>
              <w:t>行動</w:t>
            </w:r>
            <w:r w:rsidRPr="00A80B4B">
              <w:rPr>
                <w:rFonts w:ascii="標楷體" w:eastAsia="標楷體" w:hAnsi="標楷體" w:hint="eastAsia"/>
                <w:szCs w:val="24"/>
              </w:rPr>
              <w:t>信用卡業務之定義：</w:t>
            </w:r>
          </w:p>
          <w:p w:rsidR="00A80B4B" w:rsidRDefault="00A80B4B" w:rsidP="00A80B4B">
            <w:pPr>
              <w:kinsoku w:val="0"/>
              <w:overflowPunct w:val="0"/>
              <w:ind w:left="386" w:hangingChars="161" w:hanging="386"/>
              <w:rPr>
                <w:rFonts w:ascii="標楷體" w:eastAsia="標楷體" w:hAnsi="標楷體"/>
                <w:szCs w:val="24"/>
              </w:rPr>
            </w:pPr>
            <w:r>
              <w:rPr>
                <w:rFonts w:ascii="標楷體" w:eastAsia="標楷體" w:hAnsi="標楷體" w:hint="eastAsia"/>
                <w:szCs w:val="24"/>
              </w:rPr>
              <w:t>四、</w:t>
            </w:r>
            <w:r w:rsidRPr="00A80B4B">
              <w:rPr>
                <w:rFonts w:ascii="標楷體" w:eastAsia="標楷體" w:hAnsi="標楷體" w:hint="eastAsia"/>
                <w:szCs w:val="24"/>
              </w:rPr>
              <w:t>近端行動交易（Proximity Mobile Payment）</w:t>
            </w:r>
          </w:p>
          <w:p w:rsidR="00A80B4B" w:rsidRDefault="00A80B4B" w:rsidP="00A80B4B">
            <w:pPr>
              <w:kinsoku w:val="0"/>
              <w:overflowPunct w:val="0"/>
              <w:ind w:leftChars="160" w:left="384" w:firstLine="2"/>
              <w:rPr>
                <w:rFonts w:ascii="標楷體" w:eastAsia="標楷體" w:hAnsi="標楷體"/>
                <w:szCs w:val="24"/>
              </w:rPr>
            </w:pPr>
            <w:r w:rsidRPr="00A80B4B">
              <w:rPr>
                <w:rFonts w:ascii="標楷體" w:eastAsia="標楷體" w:hAnsi="標楷體" w:hint="eastAsia"/>
                <w:szCs w:val="24"/>
              </w:rPr>
              <w:t>持卡人使用內含安全儲存媒介或支援主機卡模擬之行動通信設備，於裝有感應設備之信用卡特約商店</w:t>
            </w:r>
            <w:r w:rsidRPr="00A80B4B">
              <w:rPr>
                <w:rFonts w:ascii="標楷體" w:eastAsia="標楷體" w:hAnsi="標楷體" w:hint="eastAsia"/>
                <w:b/>
                <w:szCs w:val="24"/>
                <w:u w:val="single"/>
              </w:rPr>
              <w:t>或自動櫃員機以進行感應交易</w:t>
            </w:r>
            <w:r w:rsidRPr="00A80B4B">
              <w:rPr>
                <w:rFonts w:ascii="標楷體" w:eastAsia="標楷體" w:hAnsi="標楷體" w:hint="eastAsia"/>
                <w:szCs w:val="24"/>
              </w:rPr>
              <w:t>（Contactless Transaction）。</w:t>
            </w:r>
          </w:p>
          <w:p w:rsidR="00A80B4B" w:rsidRDefault="00A80B4B" w:rsidP="00A80B4B">
            <w:pPr>
              <w:kinsoku w:val="0"/>
              <w:overflowPunct w:val="0"/>
              <w:ind w:leftChars="160" w:left="384" w:firstLine="2"/>
              <w:rPr>
                <w:rFonts w:ascii="標楷體" w:eastAsia="標楷體" w:hAnsi="標楷體"/>
                <w:szCs w:val="24"/>
              </w:rPr>
            </w:pPr>
          </w:p>
          <w:p w:rsidR="00A80B4B" w:rsidRDefault="00A80B4B" w:rsidP="00A80B4B">
            <w:pPr>
              <w:kinsoku w:val="0"/>
              <w:overflowPunct w:val="0"/>
              <w:rPr>
                <w:rFonts w:ascii="標楷體" w:eastAsia="標楷體" w:hAnsi="標楷體"/>
                <w:szCs w:val="24"/>
              </w:rPr>
            </w:pPr>
            <w:r>
              <w:rPr>
                <w:rFonts w:ascii="標楷體" w:eastAsia="標楷體" w:hAnsi="標楷體" w:hint="eastAsia"/>
                <w:szCs w:val="24"/>
              </w:rPr>
              <w:t>十七、</w:t>
            </w:r>
            <w:r w:rsidRPr="00A80B4B">
              <w:rPr>
                <w:rFonts w:ascii="標楷體" w:eastAsia="標楷體" w:hAnsi="標楷體" w:hint="eastAsia"/>
                <w:szCs w:val="24"/>
              </w:rPr>
              <w:t>代碼化(Tokenization)</w:t>
            </w:r>
          </w:p>
          <w:p w:rsidR="00A80B4B" w:rsidRPr="00887B14" w:rsidRDefault="00A80B4B" w:rsidP="00D4563A">
            <w:pPr>
              <w:kinsoku w:val="0"/>
              <w:overflowPunct w:val="0"/>
              <w:ind w:leftChars="161" w:left="386"/>
              <w:rPr>
                <w:rFonts w:ascii="標楷體" w:eastAsia="標楷體" w:hAnsi="標楷體"/>
                <w:szCs w:val="24"/>
              </w:rPr>
            </w:pPr>
            <w:r w:rsidRPr="00A80B4B">
              <w:rPr>
                <w:rFonts w:ascii="標楷體" w:eastAsia="標楷體" w:hAnsi="標楷體" w:hint="eastAsia"/>
                <w:szCs w:val="24"/>
              </w:rPr>
              <w:t>運用EMVCo組織技術，提供一組與原始資料具有相同格式的代碼，藉以替代原始的敏感性資料。</w:t>
            </w:r>
          </w:p>
        </w:tc>
        <w:tc>
          <w:tcPr>
            <w:tcW w:w="1655" w:type="pct"/>
            <w:tcBorders>
              <w:top w:val="single" w:sz="4" w:space="0" w:color="auto"/>
              <w:left w:val="single" w:sz="4" w:space="0" w:color="auto"/>
              <w:bottom w:val="single" w:sz="4" w:space="0" w:color="auto"/>
              <w:right w:val="single" w:sz="4" w:space="0" w:color="auto"/>
            </w:tcBorders>
            <w:hideMark/>
          </w:tcPr>
          <w:p w:rsidR="00A80B4B" w:rsidRDefault="00A80B4B" w:rsidP="00A80B4B">
            <w:pPr>
              <w:kinsoku w:val="0"/>
              <w:overflowPunct w:val="0"/>
              <w:ind w:left="924" w:hangingChars="385" w:hanging="924"/>
              <w:rPr>
                <w:rFonts w:ascii="標楷體" w:eastAsia="標楷體" w:hAnsi="標楷體"/>
                <w:szCs w:val="24"/>
              </w:rPr>
            </w:pPr>
            <w:r w:rsidRPr="00A80B4B">
              <w:rPr>
                <w:rFonts w:ascii="標楷體" w:eastAsia="標楷體" w:hAnsi="標楷體" w:hint="eastAsia"/>
                <w:szCs w:val="24"/>
              </w:rPr>
              <w:t>第二章、</w:t>
            </w:r>
            <w:r w:rsidRPr="00A80B4B">
              <w:rPr>
                <w:rFonts w:ascii="標楷體" w:eastAsia="標楷體" w:hAnsi="標楷體" w:hint="eastAsia"/>
                <w:szCs w:val="24"/>
                <w:u w:val="single"/>
              </w:rPr>
              <w:t>手機</w:t>
            </w:r>
            <w:r w:rsidRPr="00A80B4B">
              <w:rPr>
                <w:rFonts w:ascii="標楷體" w:eastAsia="標楷體" w:hAnsi="標楷體" w:hint="eastAsia"/>
                <w:szCs w:val="24"/>
              </w:rPr>
              <w:t>信用卡業務之定義：</w:t>
            </w:r>
          </w:p>
          <w:p w:rsidR="00D4563A" w:rsidRPr="00D4563A" w:rsidRDefault="00D4563A" w:rsidP="00D4563A">
            <w:pPr>
              <w:kinsoku w:val="0"/>
              <w:overflowPunct w:val="0"/>
              <w:ind w:left="358" w:hangingChars="149" w:hanging="358"/>
              <w:rPr>
                <w:rFonts w:ascii="標楷體" w:eastAsia="標楷體" w:hAnsi="標楷體"/>
                <w:szCs w:val="24"/>
              </w:rPr>
            </w:pPr>
            <w:r w:rsidRPr="00D4563A">
              <w:rPr>
                <w:rFonts w:ascii="標楷體" w:eastAsia="標楷體" w:hAnsi="標楷體" w:hint="eastAsia"/>
                <w:szCs w:val="24"/>
              </w:rPr>
              <w:t>四、近端行動交易（Proximity Mobile Payment）</w:t>
            </w:r>
          </w:p>
          <w:p w:rsidR="00D4563A" w:rsidRPr="00D4563A" w:rsidRDefault="00D4563A" w:rsidP="00D4563A">
            <w:pPr>
              <w:kinsoku w:val="0"/>
              <w:overflowPunct w:val="0"/>
              <w:ind w:leftChars="150" w:left="360"/>
              <w:rPr>
                <w:rFonts w:ascii="標楷體" w:eastAsia="標楷體" w:hAnsi="標楷體"/>
                <w:szCs w:val="24"/>
              </w:rPr>
            </w:pPr>
            <w:r w:rsidRPr="00D4563A">
              <w:rPr>
                <w:rFonts w:ascii="標楷體" w:eastAsia="標楷體" w:hAnsi="標楷體" w:hint="eastAsia"/>
                <w:szCs w:val="24"/>
              </w:rPr>
              <w:t>持卡人使用內含安全儲存媒介或支援主機卡模擬之行動通信設備，於裝有感應設備之信用卡特約商店</w:t>
            </w:r>
            <w:r w:rsidRPr="00D4563A">
              <w:rPr>
                <w:rFonts w:ascii="標楷體" w:eastAsia="標楷體" w:hAnsi="標楷體" w:hint="eastAsia"/>
                <w:szCs w:val="24"/>
                <w:u w:val="single"/>
              </w:rPr>
              <w:t>以感應交易（Contactless Transaction）消費簽帳</w:t>
            </w:r>
            <w:r w:rsidRPr="00D4563A">
              <w:rPr>
                <w:rFonts w:ascii="標楷體" w:eastAsia="標楷體" w:hAnsi="標楷體" w:hint="eastAsia"/>
                <w:szCs w:val="24"/>
              </w:rPr>
              <w:t>。</w:t>
            </w:r>
          </w:p>
          <w:p w:rsidR="00D4563A" w:rsidRDefault="00D4563A" w:rsidP="00D4563A">
            <w:pPr>
              <w:kinsoku w:val="0"/>
              <w:overflowPunct w:val="0"/>
              <w:ind w:left="924" w:hangingChars="385" w:hanging="924"/>
              <w:rPr>
                <w:rFonts w:ascii="標楷體" w:eastAsia="標楷體" w:hAnsi="標楷體"/>
                <w:szCs w:val="24"/>
              </w:rPr>
            </w:pPr>
          </w:p>
          <w:p w:rsidR="00D4563A" w:rsidRPr="00D4563A" w:rsidRDefault="00D4563A" w:rsidP="00D4563A">
            <w:pPr>
              <w:kinsoku w:val="0"/>
              <w:overflowPunct w:val="0"/>
              <w:ind w:left="924" w:hangingChars="385" w:hanging="924"/>
              <w:rPr>
                <w:rFonts w:ascii="標楷體" w:eastAsia="標楷體" w:hAnsi="標楷體"/>
                <w:szCs w:val="24"/>
              </w:rPr>
            </w:pPr>
          </w:p>
          <w:p w:rsidR="00D4563A" w:rsidRPr="00D4563A" w:rsidRDefault="00D4563A" w:rsidP="00D4563A">
            <w:pPr>
              <w:kinsoku w:val="0"/>
              <w:overflowPunct w:val="0"/>
              <w:ind w:left="924" w:hangingChars="385" w:hanging="924"/>
              <w:rPr>
                <w:rFonts w:ascii="標楷體" w:eastAsia="標楷體" w:hAnsi="標楷體"/>
                <w:szCs w:val="24"/>
              </w:rPr>
            </w:pPr>
            <w:r w:rsidRPr="00D4563A">
              <w:rPr>
                <w:rFonts w:ascii="標楷體" w:eastAsia="標楷體" w:hAnsi="標楷體" w:hint="eastAsia"/>
                <w:szCs w:val="24"/>
              </w:rPr>
              <w:t>十七、代碼化(Tokenization)</w:t>
            </w:r>
          </w:p>
          <w:p w:rsidR="00A80B4B" w:rsidRPr="00887B14" w:rsidRDefault="00D4563A" w:rsidP="00D4563A">
            <w:pPr>
              <w:kinsoku w:val="0"/>
              <w:overflowPunct w:val="0"/>
              <w:ind w:leftChars="150" w:left="360"/>
              <w:rPr>
                <w:rFonts w:ascii="標楷體" w:eastAsia="標楷體" w:hAnsi="標楷體"/>
                <w:szCs w:val="24"/>
              </w:rPr>
            </w:pPr>
            <w:r w:rsidRPr="00D4563A">
              <w:rPr>
                <w:rFonts w:ascii="標楷體" w:eastAsia="標楷體" w:hAnsi="標楷體" w:hint="eastAsia"/>
                <w:szCs w:val="24"/>
              </w:rPr>
              <w:t>運用EMVCo組織技術，提供一組與原始資料具有相同格式的代碼，藉以替代原始的敏感性資料</w:t>
            </w:r>
            <w:r w:rsidRPr="00D4563A">
              <w:rPr>
                <w:rFonts w:ascii="標楷體" w:eastAsia="標楷體" w:hAnsi="標楷體" w:hint="eastAsia"/>
                <w:szCs w:val="24"/>
                <w:u w:val="single"/>
              </w:rPr>
              <w:t>，於可支</w:t>
            </w:r>
            <w:r w:rsidR="00B50F78">
              <w:rPr>
                <w:rFonts w:ascii="標楷體" w:eastAsia="標楷體" w:hAnsi="標楷體" w:hint="eastAsia"/>
                <w:szCs w:val="24"/>
                <w:u w:val="single"/>
              </w:rPr>
              <w:t>援</w:t>
            </w:r>
            <w:r w:rsidRPr="00D4563A">
              <w:rPr>
                <w:rFonts w:ascii="標楷體" w:eastAsia="標楷體" w:hAnsi="標楷體" w:hint="eastAsia"/>
                <w:szCs w:val="24"/>
                <w:u w:val="single"/>
              </w:rPr>
              <w:t>近端及網路交易之信用卡特約商店消費</w:t>
            </w:r>
            <w:r w:rsidRPr="00D4563A">
              <w:rPr>
                <w:rFonts w:ascii="標楷體" w:eastAsia="標楷體" w:hAnsi="標楷體" w:hint="eastAsia"/>
                <w:szCs w:val="24"/>
              </w:rPr>
              <w:t>。</w:t>
            </w:r>
          </w:p>
        </w:tc>
        <w:tc>
          <w:tcPr>
            <w:tcW w:w="1654" w:type="pct"/>
            <w:tcBorders>
              <w:top w:val="single" w:sz="4" w:space="0" w:color="auto"/>
              <w:left w:val="single" w:sz="4" w:space="0" w:color="auto"/>
              <w:bottom w:val="single" w:sz="4" w:space="0" w:color="auto"/>
              <w:right w:val="single" w:sz="4" w:space="0" w:color="auto"/>
            </w:tcBorders>
            <w:hideMark/>
          </w:tcPr>
          <w:p w:rsidR="00A80B4B" w:rsidRPr="00887B14" w:rsidRDefault="00D4563A" w:rsidP="00045462">
            <w:pPr>
              <w:kinsoku w:val="0"/>
              <w:overflowPunct w:val="0"/>
              <w:rPr>
                <w:rFonts w:ascii="標楷體" w:eastAsia="標楷體" w:hAnsi="標楷體"/>
                <w:szCs w:val="24"/>
              </w:rPr>
            </w:pPr>
            <w:r>
              <w:rPr>
                <w:rFonts w:ascii="標楷體" w:eastAsia="標楷體" w:hAnsi="標楷體" w:hint="eastAsia"/>
                <w:szCs w:val="24"/>
              </w:rPr>
              <w:t>因應本次增列行動信用卡</w:t>
            </w:r>
            <w:r w:rsidRPr="00D4563A">
              <w:rPr>
                <w:rFonts w:ascii="標楷體" w:eastAsia="標楷體" w:hAnsi="標楷體" w:hint="eastAsia"/>
                <w:szCs w:val="24"/>
              </w:rPr>
              <w:t>近端交易</w:t>
            </w:r>
            <w:r>
              <w:rPr>
                <w:rFonts w:ascii="標楷體" w:eastAsia="標楷體" w:hAnsi="標楷體" w:hint="eastAsia"/>
                <w:szCs w:val="24"/>
              </w:rPr>
              <w:t>之</w:t>
            </w:r>
            <w:r w:rsidRPr="00D4563A">
              <w:rPr>
                <w:rFonts w:ascii="標楷體" w:eastAsia="標楷體" w:hAnsi="標楷體" w:hint="eastAsia"/>
                <w:szCs w:val="24"/>
              </w:rPr>
              <w:t>自動櫃員機預借現金</w:t>
            </w:r>
            <w:r w:rsidR="00045462">
              <w:rPr>
                <w:rFonts w:ascii="標楷體" w:eastAsia="標楷體" w:hAnsi="標楷體" w:hint="eastAsia"/>
                <w:szCs w:val="24"/>
              </w:rPr>
              <w:t>業務</w:t>
            </w:r>
            <w:r>
              <w:rPr>
                <w:rFonts w:ascii="標楷體" w:eastAsia="標楷體" w:hAnsi="標楷體" w:hint="eastAsia"/>
                <w:szCs w:val="24"/>
              </w:rPr>
              <w:t>，酌修「</w:t>
            </w:r>
            <w:r w:rsidRPr="00D4563A">
              <w:rPr>
                <w:rFonts w:ascii="標楷體" w:eastAsia="標楷體" w:hAnsi="標楷體" w:hint="eastAsia"/>
                <w:szCs w:val="24"/>
              </w:rPr>
              <w:t>近端行動交易</w:t>
            </w:r>
            <w:r>
              <w:rPr>
                <w:rFonts w:ascii="標楷體" w:eastAsia="標楷體" w:hAnsi="標楷體" w:hint="eastAsia"/>
                <w:szCs w:val="24"/>
              </w:rPr>
              <w:t>」及「代碼化」定義。</w:t>
            </w:r>
          </w:p>
        </w:tc>
      </w:tr>
      <w:tr w:rsidR="00CA2F18" w:rsidRPr="00887B14" w:rsidTr="00FD4E6F">
        <w:tc>
          <w:tcPr>
            <w:tcW w:w="169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71F05" w:rsidRDefault="00D71F05" w:rsidP="008F2CC7">
            <w:pPr>
              <w:kinsoku w:val="0"/>
              <w:overflowPunct w:val="0"/>
              <w:jc w:val="both"/>
              <w:rPr>
                <w:rFonts w:ascii="標楷體" w:eastAsia="標楷體" w:hAnsi="標楷體" w:cs="新細明體"/>
                <w:kern w:val="0"/>
                <w:szCs w:val="24"/>
              </w:rPr>
            </w:pPr>
            <w:r w:rsidRPr="00887B14">
              <w:rPr>
                <w:rFonts w:ascii="標楷體" w:eastAsia="標楷體" w:hAnsi="標楷體" w:cs="新細明體" w:hint="eastAsia"/>
                <w:kern w:val="0"/>
                <w:szCs w:val="24"/>
              </w:rPr>
              <w:t>第三章、</w:t>
            </w:r>
            <w:r w:rsidRPr="00A80B4B">
              <w:rPr>
                <w:rFonts w:ascii="標楷體" w:eastAsia="標楷體" w:hAnsi="標楷體" w:cs="新細明體" w:hint="eastAsia"/>
                <w:b/>
                <w:kern w:val="0"/>
                <w:szCs w:val="24"/>
                <w:u w:val="single"/>
              </w:rPr>
              <w:t>行動</w:t>
            </w:r>
            <w:r w:rsidRPr="00887B14">
              <w:rPr>
                <w:rFonts w:ascii="標楷體" w:eastAsia="標楷體" w:hAnsi="標楷體" w:cs="新細明體" w:hint="eastAsia"/>
                <w:kern w:val="0"/>
                <w:szCs w:val="24"/>
              </w:rPr>
              <w:t>信用卡作業模式</w:t>
            </w:r>
          </w:p>
          <w:p w:rsidR="006F3AB3" w:rsidRPr="00887B14" w:rsidRDefault="006F3AB3" w:rsidP="008F2CC7">
            <w:pPr>
              <w:kinsoku w:val="0"/>
              <w:overflowPunct w:val="0"/>
              <w:jc w:val="both"/>
              <w:rPr>
                <w:rFonts w:ascii="標楷體" w:eastAsia="標楷體" w:hAnsi="標楷體" w:cs="新細明體"/>
                <w:kern w:val="0"/>
                <w:szCs w:val="24"/>
              </w:rPr>
            </w:pPr>
            <w:r>
              <w:rPr>
                <w:rFonts w:ascii="標楷體" w:eastAsia="標楷體" w:hAnsi="標楷體" w:cs="新細明體" w:hint="eastAsia"/>
                <w:kern w:val="0"/>
                <w:szCs w:val="24"/>
              </w:rPr>
              <w:t>二、</w:t>
            </w:r>
          </w:p>
          <w:p w:rsidR="00D71F05" w:rsidRPr="00887B14" w:rsidRDefault="00D71F05" w:rsidP="008F2CC7">
            <w:pPr>
              <w:kinsoku w:val="0"/>
              <w:overflowPunct w:val="0"/>
              <w:jc w:val="both"/>
              <w:rPr>
                <w:rFonts w:ascii="標楷體" w:eastAsia="標楷體" w:hAnsi="標楷體" w:cs="新細明體"/>
                <w:kern w:val="0"/>
                <w:szCs w:val="24"/>
              </w:rPr>
            </w:pPr>
            <w:r w:rsidRPr="00887B14">
              <w:rPr>
                <w:rFonts w:ascii="標楷體" w:eastAsia="標楷體" w:hAnsi="標楷體" w:cs="新細明體" w:hint="eastAsia"/>
                <w:kern w:val="0"/>
                <w:szCs w:val="24"/>
              </w:rPr>
              <w:t>註：</w:t>
            </w:r>
          </w:p>
          <w:p w:rsidR="00CA2F18" w:rsidRDefault="006F3AB3" w:rsidP="008F2CC7">
            <w:pPr>
              <w:kinsoku w:val="0"/>
              <w:overflowPunct w:val="0"/>
              <w:ind w:left="250" w:hangingChars="104" w:hanging="250"/>
              <w:jc w:val="both"/>
              <w:rPr>
                <w:rFonts w:ascii="標楷體" w:eastAsia="標楷體" w:hAnsi="標楷體"/>
                <w:color w:val="000000"/>
              </w:rPr>
            </w:pPr>
            <w:r>
              <w:rPr>
                <w:rFonts w:ascii="標楷體" w:eastAsia="標楷體" w:hAnsi="標楷體" w:hint="eastAsia"/>
                <w:color w:val="000000"/>
              </w:rPr>
              <w:t>5.</w:t>
            </w:r>
            <w:r w:rsidRPr="00C80E39">
              <w:rPr>
                <w:rFonts w:ascii="標楷體" w:eastAsia="標楷體" w:hAnsi="標楷體" w:hint="eastAsia"/>
                <w:color w:val="000000"/>
              </w:rPr>
              <w:t>結合信用卡與</w:t>
            </w:r>
            <w:r w:rsidRPr="006F3AB3">
              <w:rPr>
                <w:rFonts w:ascii="標楷體" w:eastAsia="標楷體" w:hAnsi="標楷體" w:hint="eastAsia"/>
                <w:color w:val="000000"/>
                <w:u w:val="single"/>
              </w:rPr>
              <w:t>行動裝置</w:t>
            </w:r>
            <w:r w:rsidRPr="00C80E39">
              <w:rPr>
                <w:rFonts w:ascii="標楷體" w:eastAsia="標楷體" w:hAnsi="標楷體" w:hint="eastAsia"/>
                <w:color w:val="000000"/>
              </w:rPr>
              <w:t>如同現行非接觸式信用卡，</w:t>
            </w:r>
            <w:r w:rsidRPr="00C80E39">
              <w:rPr>
                <w:rFonts w:ascii="標楷體" w:eastAsia="標楷體" w:hAnsi="標楷體" w:hint="eastAsia"/>
              </w:rPr>
              <w:t>經過開卡成功後即可於</w:t>
            </w:r>
            <w:r w:rsidRPr="00E87AEB">
              <w:rPr>
                <w:rFonts w:ascii="標楷體" w:eastAsia="標楷體" w:hAnsi="標楷體" w:hint="eastAsia"/>
                <w:b/>
                <w:u w:val="single"/>
              </w:rPr>
              <w:t>支援近端及網路交易之信用卡特約商店消費，或於可支援近端交易之自動櫃員機進</w:t>
            </w:r>
            <w:r w:rsidRPr="00E87AEB">
              <w:rPr>
                <w:rFonts w:ascii="標楷體" w:eastAsia="標楷體" w:hAnsi="標楷體" w:hint="eastAsia"/>
                <w:b/>
                <w:u w:val="single"/>
              </w:rPr>
              <w:lastRenderedPageBreak/>
              <w:t>行預借現金交易</w:t>
            </w:r>
            <w:r w:rsidRPr="00C80E39">
              <w:rPr>
                <w:rFonts w:ascii="標楷體" w:eastAsia="標楷體" w:hAnsi="標楷體" w:hint="eastAsia"/>
              </w:rPr>
              <w:t>﹙如上圖4，5﹚</w:t>
            </w:r>
            <w:r w:rsidRPr="00C80E39">
              <w:rPr>
                <w:rFonts w:ascii="標楷體" w:eastAsia="標楷體" w:hAnsi="標楷體" w:hint="eastAsia"/>
                <w:color w:val="000000"/>
              </w:rPr>
              <w:t>。</w:t>
            </w:r>
          </w:p>
          <w:p w:rsidR="00E87AEB" w:rsidRDefault="00E87AEB" w:rsidP="008F2CC7">
            <w:pPr>
              <w:kinsoku w:val="0"/>
              <w:overflowPunct w:val="0"/>
              <w:jc w:val="both"/>
              <w:rPr>
                <w:rFonts w:ascii="標楷體" w:eastAsia="標楷體" w:hAnsi="標楷體"/>
                <w:color w:val="000000"/>
              </w:rPr>
            </w:pPr>
          </w:p>
          <w:p w:rsidR="006F3AB3" w:rsidRDefault="006F3AB3" w:rsidP="008F2CC7">
            <w:pPr>
              <w:kinsoku w:val="0"/>
              <w:overflowPunct w:val="0"/>
              <w:jc w:val="both"/>
              <w:rPr>
                <w:rFonts w:ascii="標楷體" w:eastAsia="標楷體" w:hAnsi="標楷體"/>
                <w:color w:val="000000"/>
              </w:rPr>
            </w:pPr>
            <w:r>
              <w:rPr>
                <w:rFonts w:ascii="標楷體" w:eastAsia="標楷體" w:hAnsi="標楷體" w:hint="eastAsia"/>
                <w:color w:val="000000"/>
              </w:rPr>
              <w:t>三、</w:t>
            </w:r>
            <w:r>
              <w:rPr>
                <w:rFonts w:ascii="標楷體" w:eastAsia="標楷體" w:hAnsi="標楷體"/>
                <w:color w:val="000000"/>
              </w:rPr>
              <w:br/>
            </w:r>
            <w:r>
              <w:rPr>
                <w:rFonts w:ascii="標楷體" w:eastAsia="標楷體" w:hAnsi="標楷體" w:hint="eastAsia"/>
                <w:color w:val="000000"/>
              </w:rPr>
              <w:t>註：</w:t>
            </w:r>
          </w:p>
          <w:p w:rsidR="006F3AB3" w:rsidRDefault="006F3AB3" w:rsidP="008F2CC7">
            <w:pPr>
              <w:kinsoku w:val="0"/>
              <w:overflowPunct w:val="0"/>
              <w:ind w:left="250" w:hangingChars="104" w:hanging="250"/>
              <w:jc w:val="both"/>
              <w:rPr>
                <w:rFonts w:ascii="標楷體" w:eastAsia="標楷體" w:hAnsi="標楷體"/>
                <w:color w:val="000000"/>
              </w:rPr>
            </w:pPr>
            <w:r>
              <w:rPr>
                <w:rFonts w:ascii="標楷體" w:eastAsia="標楷體" w:hAnsi="標楷體" w:hint="eastAsia"/>
                <w:color w:val="000000"/>
              </w:rPr>
              <w:t>5.</w:t>
            </w:r>
            <w:r w:rsidRPr="00C80E39">
              <w:rPr>
                <w:rFonts w:ascii="標楷體" w:eastAsia="標楷體" w:hAnsi="標楷體" w:hint="eastAsia"/>
                <w:color w:val="000000"/>
              </w:rPr>
              <w:t>結合信用卡與</w:t>
            </w:r>
            <w:r w:rsidRPr="006F3AB3">
              <w:rPr>
                <w:rFonts w:ascii="標楷體" w:eastAsia="標楷體" w:hAnsi="標楷體" w:hint="eastAsia"/>
                <w:color w:val="000000"/>
                <w:u w:val="single"/>
              </w:rPr>
              <w:t>行動裝置</w:t>
            </w:r>
            <w:r w:rsidRPr="00C80E39">
              <w:rPr>
                <w:rFonts w:ascii="標楷體" w:eastAsia="標楷體" w:hAnsi="標楷體" w:hint="eastAsia"/>
                <w:color w:val="000000"/>
              </w:rPr>
              <w:t>如同現行非接觸式信用卡，</w:t>
            </w:r>
            <w:r w:rsidRPr="00C80E39">
              <w:rPr>
                <w:rFonts w:ascii="標楷體" w:eastAsia="標楷體" w:hAnsi="標楷體" w:hint="eastAsia"/>
              </w:rPr>
              <w:t>經過開卡成功後即可於</w:t>
            </w:r>
            <w:r w:rsidRPr="00E87AEB">
              <w:rPr>
                <w:rFonts w:ascii="標楷體" w:eastAsia="標楷體" w:hAnsi="標楷體" w:hint="eastAsia"/>
                <w:b/>
                <w:u w:val="single"/>
              </w:rPr>
              <w:t>支援近端及網路交易之信用卡特約商店消費，或於可支援近端交易之自動櫃員機進行預借現金交易</w:t>
            </w:r>
            <w:r w:rsidRPr="00C80E39">
              <w:rPr>
                <w:rFonts w:ascii="標楷體" w:eastAsia="標楷體" w:hAnsi="標楷體" w:hint="eastAsia"/>
              </w:rPr>
              <w:t>﹙如上圖4，5﹚</w:t>
            </w:r>
            <w:r w:rsidRPr="00C80E39">
              <w:rPr>
                <w:rFonts w:ascii="標楷體" w:eastAsia="標楷體" w:hAnsi="標楷體" w:hint="eastAsia"/>
                <w:color w:val="000000"/>
              </w:rPr>
              <w:t>。</w:t>
            </w:r>
          </w:p>
          <w:p w:rsidR="00E87AEB" w:rsidRDefault="00E87AEB" w:rsidP="008F2CC7">
            <w:pPr>
              <w:kinsoku w:val="0"/>
              <w:overflowPunct w:val="0"/>
              <w:ind w:left="250" w:hangingChars="104" w:hanging="250"/>
              <w:jc w:val="both"/>
              <w:rPr>
                <w:rFonts w:ascii="標楷體" w:eastAsia="標楷體" w:hAnsi="標楷體"/>
                <w:color w:val="000000"/>
              </w:rPr>
            </w:pPr>
          </w:p>
          <w:p w:rsidR="006F3AB3" w:rsidRPr="008F2CC7" w:rsidRDefault="006F3AB3" w:rsidP="008F2CC7">
            <w:pPr>
              <w:pStyle w:val="a3"/>
              <w:numPr>
                <w:ilvl w:val="0"/>
                <w:numId w:val="4"/>
              </w:numPr>
              <w:kinsoku w:val="0"/>
              <w:overflowPunct w:val="0"/>
              <w:ind w:leftChars="0"/>
              <w:jc w:val="both"/>
              <w:rPr>
                <w:rFonts w:ascii="標楷體" w:eastAsia="標楷體" w:hAnsi="標楷體"/>
                <w:color w:val="000000"/>
              </w:rPr>
            </w:pPr>
          </w:p>
          <w:p w:rsidR="006F3AB3" w:rsidRDefault="006F3AB3" w:rsidP="008F2CC7">
            <w:pPr>
              <w:kinsoku w:val="0"/>
              <w:overflowPunct w:val="0"/>
              <w:jc w:val="both"/>
              <w:rPr>
                <w:rFonts w:ascii="標楷體" w:eastAsia="標楷體" w:hAnsi="標楷體"/>
                <w:color w:val="000000"/>
              </w:rPr>
            </w:pPr>
            <w:r>
              <w:rPr>
                <w:rFonts w:ascii="標楷體" w:eastAsia="標楷體" w:hAnsi="標楷體" w:hint="eastAsia"/>
                <w:color w:val="000000"/>
              </w:rPr>
              <w:t>註：</w:t>
            </w:r>
          </w:p>
          <w:p w:rsidR="006F3AB3" w:rsidRPr="008F2CC7" w:rsidRDefault="008F2CC7" w:rsidP="008F2CC7">
            <w:pPr>
              <w:kinsoku w:val="0"/>
              <w:overflowPunct w:val="0"/>
              <w:ind w:left="250" w:hangingChars="104" w:hanging="250"/>
              <w:jc w:val="both"/>
              <w:rPr>
                <w:rFonts w:ascii="標楷體" w:eastAsia="標楷體" w:hAnsi="標楷體"/>
                <w:color w:val="000000"/>
              </w:rPr>
            </w:pPr>
            <w:r>
              <w:rPr>
                <w:rFonts w:ascii="標楷體" w:eastAsia="標楷體" w:hAnsi="標楷體" w:hint="eastAsia"/>
                <w:color w:val="000000"/>
              </w:rPr>
              <w:t>6.</w:t>
            </w:r>
            <w:r w:rsidRPr="00C80E39">
              <w:rPr>
                <w:rFonts w:ascii="標楷體" w:eastAsia="標楷體" w:hAnsi="標楷體" w:hint="eastAsia"/>
                <w:color w:val="000000"/>
              </w:rPr>
              <w:t>結合信用卡代碼、數位支付服務供應商應用程式與</w:t>
            </w:r>
            <w:r w:rsidRPr="008F2CC7">
              <w:rPr>
                <w:rFonts w:ascii="標楷體" w:eastAsia="標楷體" w:hAnsi="標楷體" w:hint="eastAsia"/>
                <w:color w:val="000000"/>
                <w:u w:val="single"/>
              </w:rPr>
              <w:t>行動裝置</w:t>
            </w:r>
            <w:r w:rsidRPr="00C80E39">
              <w:rPr>
                <w:rFonts w:ascii="標楷體" w:eastAsia="標楷體" w:hAnsi="標楷體" w:hint="eastAsia"/>
                <w:color w:val="000000"/>
              </w:rPr>
              <w:t>如同現行非接觸式信用卡，</w:t>
            </w:r>
            <w:r w:rsidRPr="008F2CC7">
              <w:rPr>
                <w:rFonts w:ascii="標楷體" w:eastAsia="標楷體" w:hAnsi="標楷體" w:hint="eastAsia"/>
                <w:color w:val="000000"/>
              </w:rPr>
              <w:t>即可於</w:t>
            </w:r>
            <w:r w:rsidRPr="00E87AEB">
              <w:rPr>
                <w:rFonts w:ascii="標楷體" w:eastAsia="標楷體" w:hAnsi="標楷體" w:hint="eastAsia"/>
                <w:b/>
                <w:color w:val="000000"/>
                <w:u w:val="single"/>
              </w:rPr>
              <w:t>支援近端及網路交易之信用卡特約商店消費，或於可支援近端交易之自動櫃員機進行預借現金交易</w:t>
            </w:r>
            <w:r w:rsidRPr="008F2CC7">
              <w:rPr>
                <w:rFonts w:ascii="標楷體" w:eastAsia="標楷體" w:hAnsi="標楷體" w:hint="eastAsia"/>
                <w:color w:val="000000"/>
              </w:rPr>
              <w:t>﹙如上圖5、</w:t>
            </w:r>
            <w:r w:rsidRPr="008F2CC7">
              <w:rPr>
                <w:rFonts w:ascii="標楷體" w:eastAsia="標楷體" w:hAnsi="標楷體"/>
                <w:color w:val="000000"/>
              </w:rPr>
              <w:t>6</w:t>
            </w:r>
            <w:r w:rsidRPr="008F2CC7">
              <w:rPr>
                <w:rFonts w:ascii="標楷體" w:eastAsia="標楷體" w:hAnsi="標楷體" w:hint="eastAsia"/>
                <w:color w:val="000000"/>
              </w:rPr>
              <w:t>﹚</w:t>
            </w:r>
            <w:r w:rsidRPr="00C80E39">
              <w:rPr>
                <w:rFonts w:ascii="標楷體" w:eastAsia="標楷體" w:hAnsi="標楷體" w:hint="eastAsia"/>
                <w:color w:val="000000"/>
              </w:rPr>
              <w:t>。</w:t>
            </w:r>
          </w:p>
        </w:tc>
        <w:tc>
          <w:tcPr>
            <w:tcW w:w="16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CA2F18" w:rsidRPr="00887B14" w:rsidRDefault="00CA2F18" w:rsidP="008F2CC7">
            <w:pPr>
              <w:kinsoku w:val="0"/>
              <w:overflowPunct w:val="0"/>
              <w:jc w:val="both"/>
              <w:rPr>
                <w:rFonts w:ascii="標楷體" w:eastAsia="標楷體" w:hAnsi="標楷體" w:cs="新細明體"/>
                <w:kern w:val="0"/>
                <w:szCs w:val="24"/>
              </w:rPr>
            </w:pPr>
            <w:r w:rsidRPr="00887B14">
              <w:rPr>
                <w:rFonts w:ascii="標楷體" w:eastAsia="標楷體" w:hAnsi="標楷體" w:cs="新細明體" w:hint="eastAsia"/>
                <w:kern w:val="0"/>
                <w:szCs w:val="24"/>
              </w:rPr>
              <w:lastRenderedPageBreak/>
              <w:t>第三章、</w:t>
            </w:r>
            <w:r w:rsidRPr="00A80B4B">
              <w:rPr>
                <w:rFonts w:ascii="標楷體" w:eastAsia="標楷體" w:hAnsi="標楷體" w:cs="新細明體" w:hint="eastAsia"/>
                <w:kern w:val="0"/>
                <w:szCs w:val="24"/>
                <w:u w:val="single"/>
              </w:rPr>
              <w:t>手機</w:t>
            </w:r>
            <w:r w:rsidRPr="00887B14">
              <w:rPr>
                <w:rFonts w:ascii="標楷體" w:eastAsia="標楷體" w:hAnsi="標楷體" w:cs="新細明體" w:hint="eastAsia"/>
                <w:kern w:val="0"/>
                <w:szCs w:val="24"/>
              </w:rPr>
              <w:t>信用卡作業模式</w:t>
            </w:r>
          </w:p>
          <w:p w:rsidR="006F3AB3" w:rsidRDefault="006F3AB3" w:rsidP="008F2CC7">
            <w:pPr>
              <w:kinsoku w:val="0"/>
              <w:overflowPunct w:val="0"/>
              <w:jc w:val="both"/>
              <w:rPr>
                <w:rFonts w:ascii="標楷體" w:eastAsia="標楷體" w:hAnsi="標楷體" w:cs="新細明體"/>
                <w:kern w:val="0"/>
                <w:szCs w:val="24"/>
              </w:rPr>
            </w:pPr>
            <w:r>
              <w:rPr>
                <w:rFonts w:ascii="標楷體" w:eastAsia="標楷體" w:hAnsi="標楷體" w:cs="新細明體" w:hint="eastAsia"/>
                <w:kern w:val="0"/>
                <w:szCs w:val="24"/>
              </w:rPr>
              <w:t>二、</w:t>
            </w:r>
          </w:p>
          <w:p w:rsidR="00CA2F18" w:rsidRPr="00887B14" w:rsidRDefault="00CA2F18" w:rsidP="00953E44">
            <w:pPr>
              <w:kinsoku w:val="0"/>
              <w:overflowPunct w:val="0"/>
              <w:jc w:val="both"/>
              <w:rPr>
                <w:rFonts w:ascii="標楷體" w:eastAsia="標楷體" w:hAnsi="標楷體" w:cs="新細明體"/>
                <w:kern w:val="0"/>
                <w:szCs w:val="24"/>
              </w:rPr>
            </w:pPr>
            <w:r w:rsidRPr="00887B14">
              <w:rPr>
                <w:rFonts w:ascii="標楷體" w:eastAsia="標楷體" w:hAnsi="標楷體" w:cs="新細明體" w:hint="eastAsia"/>
                <w:kern w:val="0"/>
                <w:szCs w:val="24"/>
              </w:rPr>
              <w:t>註：</w:t>
            </w:r>
          </w:p>
          <w:p w:rsidR="00CA2F18" w:rsidRDefault="00D71F05" w:rsidP="00953E44">
            <w:pPr>
              <w:kinsoku w:val="0"/>
              <w:overflowPunct w:val="0"/>
              <w:ind w:left="276" w:hangingChars="115" w:hanging="276"/>
              <w:jc w:val="both"/>
              <w:rPr>
                <w:rFonts w:ascii="標楷體" w:eastAsia="標楷體" w:hAnsi="標楷體"/>
                <w:color w:val="000000"/>
              </w:rPr>
            </w:pPr>
            <w:r w:rsidRPr="00887B14">
              <w:rPr>
                <w:rFonts w:ascii="標楷體" w:eastAsia="標楷體" w:hAnsi="標楷體" w:cs="新細明體" w:hint="eastAsia"/>
                <w:kern w:val="0"/>
                <w:szCs w:val="24"/>
              </w:rPr>
              <w:t>5.</w:t>
            </w:r>
            <w:r w:rsidR="006F3AB3" w:rsidRPr="006D1334">
              <w:rPr>
                <w:rFonts w:ascii="標楷體" w:eastAsia="標楷體" w:hAnsi="標楷體" w:hint="eastAsia"/>
                <w:color w:val="000000"/>
              </w:rPr>
              <w:t>結合信用卡與行動交易手機如同現行非接觸式信用卡，</w:t>
            </w:r>
            <w:r w:rsidR="006F3AB3" w:rsidRPr="006D1334">
              <w:rPr>
                <w:rFonts w:ascii="標楷體" w:eastAsia="標楷體" w:hAnsi="標楷體" w:hint="eastAsia"/>
              </w:rPr>
              <w:t>經過開卡成功後即可</w:t>
            </w:r>
            <w:r w:rsidR="006F3AB3" w:rsidRPr="00E87AEB">
              <w:rPr>
                <w:rFonts w:ascii="標楷體" w:eastAsia="標楷體" w:hAnsi="標楷體" w:hint="eastAsia"/>
                <w:u w:val="single"/>
              </w:rPr>
              <w:t>於裝有接收設備之信用卡特約商店以感應交易（Contactless Transaction</w:t>
            </w:r>
            <w:r w:rsidR="006F3AB3" w:rsidRPr="00E87AEB">
              <w:rPr>
                <w:rFonts w:ascii="標楷體" w:eastAsia="標楷體" w:hAnsi="標楷體" w:hint="eastAsia"/>
                <w:u w:val="single"/>
              </w:rPr>
              <w:lastRenderedPageBreak/>
              <w:t>）消費簽帳</w:t>
            </w:r>
            <w:r w:rsidR="006F3AB3" w:rsidRPr="006D1334">
              <w:rPr>
                <w:rFonts w:ascii="標楷體" w:eastAsia="標楷體" w:hAnsi="標楷體" w:hint="eastAsia"/>
              </w:rPr>
              <w:t>﹙如上圖4，5﹚</w:t>
            </w:r>
            <w:r w:rsidR="006F3AB3" w:rsidRPr="006D1334">
              <w:rPr>
                <w:rFonts w:ascii="標楷體" w:eastAsia="標楷體" w:hAnsi="標楷體" w:hint="eastAsia"/>
                <w:color w:val="000000"/>
              </w:rPr>
              <w:t>。</w:t>
            </w:r>
          </w:p>
          <w:p w:rsidR="008F2CC7" w:rsidRDefault="008F2CC7" w:rsidP="00953E44">
            <w:pPr>
              <w:kinsoku w:val="0"/>
              <w:overflowPunct w:val="0"/>
              <w:jc w:val="both"/>
              <w:rPr>
                <w:rFonts w:ascii="標楷體" w:eastAsia="標楷體" w:hAnsi="標楷體"/>
                <w:color w:val="000000"/>
              </w:rPr>
            </w:pPr>
            <w:r>
              <w:rPr>
                <w:rFonts w:ascii="標楷體" w:eastAsia="標楷體" w:hAnsi="標楷體" w:hint="eastAsia"/>
                <w:color w:val="000000"/>
              </w:rPr>
              <w:t>三、</w:t>
            </w:r>
            <w:r>
              <w:rPr>
                <w:rFonts w:ascii="標楷體" w:eastAsia="標楷體" w:hAnsi="標楷體"/>
                <w:color w:val="000000"/>
              </w:rPr>
              <w:br/>
            </w:r>
            <w:r>
              <w:rPr>
                <w:rFonts w:ascii="標楷體" w:eastAsia="標楷體" w:hAnsi="標楷體" w:hint="eastAsia"/>
                <w:color w:val="000000"/>
              </w:rPr>
              <w:t>註：</w:t>
            </w:r>
          </w:p>
          <w:p w:rsidR="008F2CC7" w:rsidRDefault="008F2CC7" w:rsidP="00953E44">
            <w:pPr>
              <w:kinsoku w:val="0"/>
              <w:overflowPunct w:val="0"/>
              <w:ind w:left="250" w:hangingChars="104" w:hanging="250"/>
              <w:jc w:val="both"/>
              <w:rPr>
                <w:rFonts w:ascii="標楷體" w:eastAsia="標楷體" w:hAnsi="標楷體"/>
                <w:color w:val="000000"/>
              </w:rPr>
            </w:pPr>
            <w:r>
              <w:rPr>
                <w:rFonts w:ascii="標楷體" w:eastAsia="標楷體" w:hAnsi="標楷體" w:hint="eastAsia"/>
                <w:color w:val="000000"/>
              </w:rPr>
              <w:t>5.</w:t>
            </w:r>
            <w:r w:rsidRPr="006D1334">
              <w:rPr>
                <w:rFonts w:ascii="標楷體" w:eastAsia="標楷體" w:hAnsi="標楷體" w:hint="eastAsia"/>
                <w:color w:val="000000"/>
              </w:rPr>
              <w:t>結合信用卡與行動交易手機如同現行非接觸式信用卡，</w:t>
            </w:r>
            <w:r w:rsidRPr="006D1334">
              <w:rPr>
                <w:rFonts w:ascii="標楷體" w:eastAsia="標楷體" w:hAnsi="標楷體" w:hint="eastAsia"/>
              </w:rPr>
              <w:t>經過開卡成功後即可於</w:t>
            </w:r>
            <w:r w:rsidRPr="00E87AEB">
              <w:rPr>
                <w:rFonts w:ascii="標楷體" w:eastAsia="標楷體" w:hAnsi="標楷體" w:hint="eastAsia"/>
                <w:u w:val="single"/>
              </w:rPr>
              <w:t>裝有接收設備之信用卡特約商店以感應交易（Contactless Transaction）消費簽帳</w:t>
            </w:r>
            <w:r w:rsidRPr="006D1334">
              <w:rPr>
                <w:rFonts w:ascii="標楷體" w:eastAsia="標楷體" w:hAnsi="標楷體" w:hint="eastAsia"/>
              </w:rPr>
              <w:t>﹙如上圖4，5﹚</w:t>
            </w:r>
            <w:r w:rsidRPr="006D1334">
              <w:rPr>
                <w:rFonts w:ascii="標楷體" w:eastAsia="標楷體" w:hAnsi="標楷體" w:hint="eastAsia"/>
                <w:color w:val="000000"/>
              </w:rPr>
              <w:t>。</w:t>
            </w:r>
          </w:p>
          <w:p w:rsidR="008F2CC7" w:rsidRPr="00930CF9" w:rsidRDefault="00930CF9" w:rsidP="00953E44">
            <w:pPr>
              <w:kinsoku w:val="0"/>
              <w:overflowPunct w:val="0"/>
              <w:jc w:val="both"/>
              <w:rPr>
                <w:rFonts w:ascii="標楷體" w:eastAsia="標楷體" w:hAnsi="標楷體"/>
                <w:color w:val="000000"/>
              </w:rPr>
            </w:pPr>
            <w:r>
              <w:rPr>
                <w:rFonts w:ascii="標楷體" w:eastAsia="標楷體" w:hAnsi="標楷體" w:hint="eastAsia"/>
                <w:color w:val="000000"/>
              </w:rPr>
              <w:t>四、</w:t>
            </w:r>
          </w:p>
          <w:p w:rsidR="008F2CC7" w:rsidRDefault="008F2CC7" w:rsidP="00953E44">
            <w:pPr>
              <w:kinsoku w:val="0"/>
              <w:overflowPunct w:val="0"/>
              <w:jc w:val="both"/>
              <w:rPr>
                <w:rFonts w:ascii="標楷體" w:eastAsia="標楷體" w:hAnsi="標楷體"/>
                <w:color w:val="000000"/>
              </w:rPr>
            </w:pPr>
            <w:r>
              <w:rPr>
                <w:rFonts w:ascii="標楷體" w:eastAsia="標楷體" w:hAnsi="標楷體" w:hint="eastAsia"/>
                <w:color w:val="000000"/>
              </w:rPr>
              <w:t>註：</w:t>
            </w:r>
          </w:p>
          <w:p w:rsidR="008F2CC7" w:rsidRDefault="008F2CC7" w:rsidP="00953E44">
            <w:pPr>
              <w:kinsoku w:val="0"/>
              <w:overflowPunct w:val="0"/>
              <w:ind w:left="276" w:hangingChars="115" w:hanging="276"/>
              <w:jc w:val="both"/>
              <w:rPr>
                <w:rFonts w:ascii="標楷體" w:eastAsia="標楷體" w:hAnsi="標楷體"/>
                <w:color w:val="000000"/>
              </w:rPr>
            </w:pPr>
            <w:r>
              <w:rPr>
                <w:rFonts w:ascii="標楷體" w:eastAsia="標楷體" w:hAnsi="標楷體" w:hint="eastAsia"/>
                <w:color w:val="000000"/>
              </w:rPr>
              <w:t>6.</w:t>
            </w:r>
            <w:r w:rsidRPr="008F2CC7">
              <w:rPr>
                <w:rFonts w:ascii="標楷體" w:eastAsia="標楷體" w:hAnsi="標楷體" w:hint="eastAsia"/>
                <w:color w:val="000000"/>
              </w:rPr>
              <w:t>結合信用卡代碼、數位支付服務供應商應用程式與行動交易手機如同現行非接觸式信用卡，即可於</w:t>
            </w:r>
            <w:r w:rsidRPr="00E87AEB">
              <w:rPr>
                <w:rFonts w:ascii="標楷體" w:eastAsia="標楷體" w:hAnsi="標楷體" w:hint="eastAsia"/>
                <w:color w:val="000000"/>
                <w:u w:val="single"/>
              </w:rPr>
              <w:t>裝有接收設備之信用卡特約商店以感應交易（Contactless Transaction）消費簽帳</w:t>
            </w:r>
            <w:r w:rsidRPr="008F2CC7">
              <w:rPr>
                <w:rFonts w:ascii="標楷體" w:eastAsia="標楷體" w:hAnsi="標楷體" w:hint="eastAsia"/>
                <w:color w:val="000000"/>
              </w:rPr>
              <w:t>﹙如上圖5、6﹚。</w:t>
            </w:r>
          </w:p>
          <w:p w:rsidR="0035201A" w:rsidRPr="00887B14" w:rsidRDefault="0035201A" w:rsidP="00953E44">
            <w:pPr>
              <w:kinsoku w:val="0"/>
              <w:overflowPunct w:val="0"/>
              <w:ind w:left="276" w:hangingChars="115" w:hanging="276"/>
              <w:jc w:val="both"/>
              <w:rPr>
                <w:rFonts w:ascii="標楷體" w:eastAsia="標楷體" w:hAnsi="標楷體" w:cs="新細明體"/>
                <w:kern w:val="0"/>
                <w:szCs w:val="24"/>
              </w:rPr>
            </w:pPr>
          </w:p>
        </w:tc>
        <w:tc>
          <w:tcPr>
            <w:tcW w:w="165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CA2F18" w:rsidRPr="00887B14" w:rsidRDefault="00D71F05" w:rsidP="008F2CC7">
            <w:pPr>
              <w:kinsoku w:val="0"/>
              <w:overflowPunct w:val="0"/>
              <w:ind w:leftChars="17" w:left="41" w:firstLine="1"/>
              <w:jc w:val="both"/>
              <w:rPr>
                <w:rFonts w:ascii="標楷體" w:eastAsia="標楷體" w:hAnsi="標楷體" w:cs="新細明體"/>
                <w:kern w:val="0"/>
                <w:szCs w:val="24"/>
              </w:rPr>
            </w:pPr>
            <w:r w:rsidRPr="00887B14">
              <w:rPr>
                <w:rFonts w:ascii="標楷體" w:eastAsia="標楷體" w:hAnsi="標楷體" w:cs="新細明體" w:hint="eastAsia"/>
                <w:kern w:val="0"/>
                <w:szCs w:val="24"/>
              </w:rPr>
              <w:lastRenderedPageBreak/>
              <w:t>針對本章節說明之三類作業模式，因應行動支付交易模式發展，於</w:t>
            </w:r>
            <w:r w:rsidR="00526255">
              <w:rPr>
                <w:rFonts w:ascii="標楷體" w:eastAsia="標楷體" w:hAnsi="標楷體" w:cs="新細明體" w:hint="eastAsia"/>
                <w:kern w:val="0"/>
                <w:szCs w:val="24"/>
              </w:rPr>
              <w:t>各</w:t>
            </w:r>
            <w:r w:rsidRPr="00887B14">
              <w:rPr>
                <w:rFonts w:ascii="標楷體" w:eastAsia="標楷體" w:hAnsi="標楷體" w:cs="新細明體" w:hint="eastAsia"/>
                <w:kern w:val="0"/>
                <w:szCs w:val="24"/>
              </w:rPr>
              <w:t>作業模式中說明支援近端與網路交易、近端交易之自動櫃員機預借現金等交易型態。</w:t>
            </w:r>
          </w:p>
        </w:tc>
      </w:tr>
      <w:tr w:rsidR="000165FE" w:rsidRPr="00887B14" w:rsidTr="00FD4E6F">
        <w:tc>
          <w:tcPr>
            <w:tcW w:w="169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0165FE" w:rsidRDefault="000165FE" w:rsidP="008F2CC7">
            <w:pPr>
              <w:kinsoku w:val="0"/>
              <w:overflowPunct w:val="0"/>
              <w:jc w:val="both"/>
              <w:rPr>
                <w:rFonts w:ascii="標楷體" w:eastAsia="標楷體" w:hAnsi="標楷體" w:cs="新細明體"/>
                <w:kern w:val="0"/>
                <w:szCs w:val="24"/>
              </w:rPr>
            </w:pPr>
            <w:r>
              <w:rPr>
                <w:rFonts w:ascii="標楷體" w:eastAsia="標楷體" w:hAnsi="標楷體" w:cs="新細明體" w:hint="eastAsia"/>
                <w:kern w:val="0"/>
                <w:szCs w:val="24"/>
              </w:rPr>
              <w:t>第四章</w:t>
            </w:r>
            <w:r w:rsidRPr="000165FE">
              <w:rPr>
                <w:rFonts w:ascii="標楷體" w:eastAsia="標楷體" w:hAnsi="標楷體" w:cs="新細明體" w:hint="eastAsia"/>
                <w:kern w:val="0"/>
                <w:szCs w:val="24"/>
              </w:rPr>
              <w:t>行動信用卡之安全管控</w:t>
            </w:r>
          </w:p>
          <w:p w:rsidR="000165FE" w:rsidRDefault="000165FE" w:rsidP="008F2CC7">
            <w:pPr>
              <w:kinsoku w:val="0"/>
              <w:overflowPunct w:val="0"/>
              <w:jc w:val="both"/>
              <w:rPr>
                <w:rFonts w:ascii="標楷體" w:eastAsia="標楷體" w:hAnsi="標楷體" w:cs="新細明體"/>
                <w:kern w:val="0"/>
                <w:szCs w:val="24"/>
              </w:rPr>
            </w:pPr>
            <w:r>
              <w:rPr>
                <w:rFonts w:ascii="標楷體" w:eastAsia="標楷體" w:hAnsi="標楷體" w:cs="新細明體" w:hint="eastAsia"/>
                <w:kern w:val="0"/>
                <w:szCs w:val="24"/>
              </w:rPr>
              <w:t>安全設計通則</w:t>
            </w:r>
          </w:p>
          <w:p w:rsidR="000165FE" w:rsidRPr="000165FE" w:rsidRDefault="000165FE" w:rsidP="000165FE">
            <w:pPr>
              <w:kinsoku w:val="0"/>
              <w:overflowPunct w:val="0"/>
              <w:ind w:left="545" w:hangingChars="227" w:hanging="545"/>
              <w:jc w:val="both"/>
              <w:rPr>
                <w:rFonts w:ascii="標楷體" w:eastAsia="標楷體" w:hAnsi="標楷體" w:cs="新細明體"/>
                <w:kern w:val="0"/>
                <w:szCs w:val="24"/>
              </w:rPr>
            </w:pPr>
            <w:r w:rsidRPr="000165FE">
              <w:rPr>
                <w:rFonts w:ascii="標楷體" w:eastAsia="標楷體" w:hAnsi="標楷體" w:cs="新細明體" w:hint="eastAsia"/>
                <w:kern w:val="0"/>
                <w:szCs w:val="24"/>
              </w:rPr>
              <w:t>六、自動櫃員機設備：自動櫃員機設備管理應有下列之安全基本原則。</w:t>
            </w:r>
          </w:p>
          <w:p w:rsidR="000165FE" w:rsidRPr="000165FE" w:rsidRDefault="000165FE" w:rsidP="000165FE">
            <w:pPr>
              <w:kinsoku w:val="0"/>
              <w:overflowPunct w:val="0"/>
              <w:ind w:leftChars="123" w:left="921" w:hangingChars="261" w:hanging="626"/>
              <w:jc w:val="both"/>
              <w:rPr>
                <w:rFonts w:ascii="標楷體" w:eastAsia="標楷體" w:hAnsi="標楷體" w:cs="新細明體"/>
                <w:kern w:val="0"/>
                <w:szCs w:val="24"/>
              </w:rPr>
            </w:pPr>
            <w:r w:rsidRPr="000165FE">
              <w:rPr>
                <w:rFonts w:ascii="標楷體" w:eastAsia="標楷體" w:hAnsi="標楷體" w:cs="新細明體" w:hint="eastAsia"/>
                <w:kern w:val="0"/>
                <w:szCs w:val="24"/>
              </w:rPr>
              <w:t>(一)</w:t>
            </w:r>
            <w:r w:rsidRPr="000165FE">
              <w:rPr>
                <w:rFonts w:ascii="標楷體" w:eastAsia="標楷體" w:hAnsi="標楷體" w:cs="新細明體" w:hint="eastAsia"/>
                <w:kern w:val="0"/>
                <w:szCs w:val="24"/>
              </w:rPr>
              <w:tab/>
            </w:r>
            <w:r w:rsidR="00682913" w:rsidRPr="00682913">
              <w:rPr>
                <w:rFonts w:ascii="標楷體" w:eastAsia="標楷體" w:hAnsi="標楷體" w:cs="新細明體" w:hint="eastAsia"/>
                <w:kern w:val="0"/>
                <w:szCs w:val="24"/>
              </w:rPr>
              <w:t>透過自動櫃員機進行預借現金交易，傳輸發卡機構與持卡人所約定之資料時應依訊息隱密性原則進行加密。</w:t>
            </w:r>
          </w:p>
          <w:p w:rsidR="000165FE" w:rsidRPr="000165FE" w:rsidRDefault="000165FE" w:rsidP="000165FE">
            <w:pPr>
              <w:kinsoku w:val="0"/>
              <w:overflowPunct w:val="0"/>
              <w:ind w:leftChars="123" w:left="921" w:hangingChars="261" w:hanging="626"/>
              <w:jc w:val="both"/>
              <w:rPr>
                <w:rFonts w:ascii="標楷體" w:eastAsia="標楷體" w:hAnsi="標楷體" w:cs="新細明體"/>
                <w:kern w:val="0"/>
                <w:szCs w:val="24"/>
              </w:rPr>
            </w:pPr>
            <w:r w:rsidRPr="000165FE">
              <w:rPr>
                <w:rFonts w:ascii="標楷體" w:eastAsia="標楷體" w:hAnsi="標楷體" w:cs="新細明體" w:hint="eastAsia"/>
                <w:kern w:val="0"/>
                <w:szCs w:val="24"/>
              </w:rPr>
              <w:t>(二)</w:t>
            </w:r>
            <w:r w:rsidRPr="000165FE">
              <w:rPr>
                <w:rFonts w:ascii="標楷體" w:eastAsia="標楷體" w:hAnsi="標楷體" w:cs="新細明體" w:hint="eastAsia"/>
                <w:kern w:val="0"/>
                <w:szCs w:val="24"/>
              </w:rPr>
              <w:tab/>
              <w:t>前款加密之金鑰應依金鑰管理原則建立安全防護。</w:t>
            </w:r>
          </w:p>
          <w:p w:rsidR="000165FE" w:rsidRPr="00887B14" w:rsidRDefault="000165FE" w:rsidP="000165FE">
            <w:pPr>
              <w:kinsoku w:val="0"/>
              <w:overflowPunct w:val="0"/>
              <w:ind w:leftChars="123" w:left="921" w:hangingChars="261" w:hanging="626"/>
              <w:jc w:val="both"/>
              <w:rPr>
                <w:rFonts w:ascii="標楷體" w:eastAsia="標楷體" w:hAnsi="標楷體" w:cs="新細明體"/>
                <w:kern w:val="0"/>
                <w:szCs w:val="24"/>
              </w:rPr>
            </w:pPr>
            <w:r w:rsidRPr="000165FE">
              <w:rPr>
                <w:rFonts w:ascii="標楷體" w:eastAsia="標楷體" w:hAnsi="標楷體" w:cs="新細明體" w:hint="eastAsia"/>
                <w:kern w:val="0"/>
                <w:szCs w:val="24"/>
              </w:rPr>
              <w:t>(三)</w:t>
            </w:r>
            <w:r w:rsidRPr="000165FE">
              <w:rPr>
                <w:rFonts w:ascii="標楷體" w:eastAsia="標楷體" w:hAnsi="標楷體" w:cs="新細明體" w:hint="eastAsia"/>
                <w:kern w:val="0"/>
                <w:szCs w:val="24"/>
              </w:rPr>
              <w:tab/>
              <w:t>自動櫃員機若提供感應設備，必須通過EMVCo組織公告之level 1與level 2</w:t>
            </w:r>
            <w:r w:rsidRPr="000165FE">
              <w:rPr>
                <w:rFonts w:ascii="標楷體" w:eastAsia="標楷體" w:hAnsi="標楷體" w:cs="新細明體" w:hint="eastAsia"/>
                <w:kern w:val="0"/>
                <w:szCs w:val="24"/>
              </w:rPr>
              <w:lastRenderedPageBreak/>
              <w:t>認證。</w:t>
            </w:r>
          </w:p>
        </w:tc>
        <w:tc>
          <w:tcPr>
            <w:tcW w:w="16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0165FE" w:rsidRPr="00887B14" w:rsidRDefault="00DE1AA1" w:rsidP="008F2CC7">
            <w:pPr>
              <w:kinsoku w:val="0"/>
              <w:overflowPunct w:val="0"/>
              <w:jc w:val="both"/>
              <w:rPr>
                <w:rFonts w:ascii="標楷體" w:eastAsia="標楷體" w:hAnsi="標楷體" w:cs="新細明體"/>
                <w:kern w:val="0"/>
                <w:szCs w:val="24"/>
              </w:rPr>
            </w:pPr>
            <w:r>
              <w:rPr>
                <w:rFonts w:ascii="標楷體" w:eastAsia="標楷體" w:hAnsi="標楷體" w:cs="新細明體" w:hint="eastAsia"/>
                <w:kern w:val="0"/>
                <w:szCs w:val="24"/>
              </w:rPr>
              <w:lastRenderedPageBreak/>
              <w:t>-</w:t>
            </w:r>
          </w:p>
        </w:tc>
        <w:tc>
          <w:tcPr>
            <w:tcW w:w="165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E1AA1" w:rsidRDefault="00DE1AA1" w:rsidP="008F2CC7">
            <w:pPr>
              <w:kinsoku w:val="0"/>
              <w:overflowPunct w:val="0"/>
              <w:ind w:leftChars="17" w:left="41" w:firstLine="1"/>
              <w:jc w:val="both"/>
              <w:rPr>
                <w:rFonts w:ascii="標楷體" w:eastAsia="標楷體" w:hAnsi="標楷體" w:cs="新細明體"/>
                <w:kern w:val="0"/>
                <w:szCs w:val="24"/>
              </w:rPr>
            </w:pPr>
            <w:r>
              <w:rPr>
                <w:rFonts w:ascii="標楷體" w:eastAsia="標楷體" w:hAnsi="標楷體" w:cs="新細明體" w:hint="eastAsia"/>
                <w:kern w:val="0"/>
                <w:szCs w:val="24"/>
              </w:rPr>
              <w:t>一、</w:t>
            </w:r>
            <w:r w:rsidRPr="00DE1AA1">
              <w:rPr>
                <w:rFonts w:ascii="標楷體" w:eastAsia="標楷體" w:hAnsi="標楷體" w:cs="新細明體" w:hint="eastAsia"/>
                <w:kern w:val="0"/>
                <w:szCs w:val="24"/>
              </w:rPr>
              <w:t>本條新增</w:t>
            </w:r>
            <w:r>
              <w:rPr>
                <w:rFonts w:ascii="標楷體" w:eastAsia="標楷體" w:hAnsi="標楷體" w:cs="新細明體" w:hint="eastAsia"/>
                <w:kern w:val="0"/>
                <w:szCs w:val="24"/>
              </w:rPr>
              <w:t>。</w:t>
            </w:r>
          </w:p>
          <w:p w:rsidR="000165FE" w:rsidRPr="00887B14" w:rsidRDefault="00DE1AA1" w:rsidP="00682913">
            <w:pPr>
              <w:kinsoku w:val="0"/>
              <w:overflowPunct w:val="0"/>
              <w:ind w:leftChars="17" w:left="590" w:hanging="549"/>
              <w:jc w:val="both"/>
              <w:rPr>
                <w:rFonts w:ascii="標楷體" w:eastAsia="標楷體" w:hAnsi="標楷體" w:cs="新細明體"/>
                <w:kern w:val="0"/>
                <w:szCs w:val="24"/>
              </w:rPr>
            </w:pPr>
            <w:r>
              <w:rPr>
                <w:rFonts w:ascii="標楷體" w:eastAsia="標楷體" w:hAnsi="標楷體" w:cs="新細明體" w:hint="eastAsia"/>
                <w:kern w:val="0"/>
                <w:szCs w:val="24"/>
              </w:rPr>
              <w:t>二、</w:t>
            </w:r>
            <w:r w:rsidR="000165FE" w:rsidRPr="000165FE">
              <w:rPr>
                <w:rFonts w:ascii="標楷體" w:eastAsia="標楷體" w:hAnsi="標楷體" w:cs="新細明體" w:hint="eastAsia"/>
                <w:kern w:val="0"/>
                <w:szCs w:val="24"/>
              </w:rPr>
              <w:t>針對行動信用卡安全管控之安全設計通則，新增對自動櫃員機設備之安全基本原則要求，</w:t>
            </w:r>
            <w:r w:rsidR="00682913">
              <w:rPr>
                <w:rFonts w:ascii="標楷體" w:eastAsia="標楷體" w:hAnsi="標楷體" w:cs="新細明體" w:hint="eastAsia"/>
                <w:kern w:val="0"/>
                <w:szCs w:val="24"/>
              </w:rPr>
              <w:t>傳輸</w:t>
            </w:r>
            <w:r w:rsidR="00682913" w:rsidRPr="00682913">
              <w:rPr>
                <w:rFonts w:ascii="標楷體" w:eastAsia="標楷體" w:hAnsi="標楷體" w:cs="新細明體" w:hint="eastAsia"/>
                <w:kern w:val="0"/>
                <w:szCs w:val="24"/>
              </w:rPr>
              <w:t>發卡機構與持卡人所約定之資料時</w:t>
            </w:r>
            <w:r w:rsidR="00682913">
              <w:rPr>
                <w:rFonts w:ascii="標楷體" w:eastAsia="標楷體" w:hAnsi="標楷體" w:cs="新細明體" w:hint="eastAsia"/>
                <w:kern w:val="0"/>
                <w:szCs w:val="24"/>
              </w:rPr>
              <w:t>之加密原則</w:t>
            </w:r>
            <w:r w:rsidR="000165FE" w:rsidRPr="000165FE">
              <w:rPr>
                <w:rFonts w:ascii="標楷體" w:eastAsia="標楷體" w:hAnsi="標楷體" w:cs="新細明體" w:hint="eastAsia"/>
                <w:kern w:val="0"/>
                <w:szCs w:val="24"/>
              </w:rPr>
              <w:t>、該加密金鑰之管理原則、設備認證。</w:t>
            </w:r>
          </w:p>
        </w:tc>
      </w:tr>
      <w:tr w:rsidR="00687699" w:rsidRPr="00887B14" w:rsidTr="00FD4E6F">
        <w:tc>
          <w:tcPr>
            <w:tcW w:w="169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687699" w:rsidRPr="00687699" w:rsidRDefault="00687699" w:rsidP="008B4252">
            <w:pPr>
              <w:kinsoku w:val="0"/>
              <w:overflowPunct w:val="0"/>
              <w:ind w:left="739" w:hangingChars="308" w:hanging="739"/>
              <w:jc w:val="both"/>
              <w:rPr>
                <w:rFonts w:ascii="標楷體" w:eastAsia="標楷體" w:hAnsi="標楷體" w:cs="新細明體"/>
                <w:color w:val="000000" w:themeColor="text1"/>
                <w:kern w:val="0"/>
                <w:szCs w:val="24"/>
              </w:rPr>
            </w:pPr>
            <w:r w:rsidRPr="00687699">
              <w:rPr>
                <w:rFonts w:ascii="標楷體" w:eastAsia="標楷體" w:hAnsi="標楷體" w:cs="新細明體" w:hint="eastAsia"/>
                <w:color w:val="000000" w:themeColor="text1"/>
                <w:kern w:val="0"/>
                <w:szCs w:val="24"/>
              </w:rPr>
              <w:t>第四章行動信用卡之安全管控</w:t>
            </w:r>
          </w:p>
          <w:p w:rsidR="00687699" w:rsidRPr="00687699" w:rsidRDefault="00687699" w:rsidP="008B4252">
            <w:pPr>
              <w:kinsoku w:val="0"/>
              <w:overflowPunct w:val="0"/>
              <w:ind w:left="739" w:hangingChars="308" w:hanging="739"/>
              <w:jc w:val="both"/>
              <w:rPr>
                <w:rFonts w:ascii="標楷體" w:eastAsia="標楷體" w:hAnsi="標楷體"/>
                <w:color w:val="000000" w:themeColor="text1"/>
              </w:rPr>
            </w:pPr>
            <w:r w:rsidRPr="00687699">
              <w:rPr>
                <w:rFonts w:ascii="標楷體" w:eastAsia="標楷體" w:hAnsi="標楷體" w:hint="eastAsia"/>
                <w:color w:val="000000" w:themeColor="text1"/>
              </w:rPr>
              <w:t>特殊安全設計</w:t>
            </w:r>
          </w:p>
          <w:p w:rsidR="00687699" w:rsidRPr="00687699" w:rsidRDefault="00687699" w:rsidP="008B4252">
            <w:pPr>
              <w:kinsoku w:val="0"/>
              <w:overflowPunct w:val="0"/>
              <w:ind w:left="739" w:hangingChars="308" w:hanging="739"/>
              <w:jc w:val="both"/>
              <w:rPr>
                <w:rFonts w:ascii="標楷體" w:eastAsia="標楷體" w:hAnsi="標楷體" w:cs="新細明體"/>
                <w:color w:val="000000" w:themeColor="text1"/>
                <w:kern w:val="0"/>
                <w:szCs w:val="24"/>
              </w:rPr>
            </w:pPr>
            <w:r w:rsidRPr="00687699">
              <w:rPr>
                <w:rFonts w:ascii="標楷體" w:eastAsia="標楷體" w:hAnsi="標楷體" w:hint="eastAsia"/>
                <w:color w:val="000000" w:themeColor="text1"/>
              </w:rPr>
              <w:t>二、行動裝置</w:t>
            </w:r>
          </w:p>
          <w:p w:rsidR="00687699" w:rsidRPr="00687699" w:rsidRDefault="00687699" w:rsidP="008B4252">
            <w:pPr>
              <w:kinsoku w:val="0"/>
              <w:overflowPunct w:val="0"/>
              <w:ind w:left="739" w:hangingChars="308" w:hanging="739"/>
              <w:jc w:val="both"/>
              <w:rPr>
                <w:rFonts w:ascii="標楷體" w:eastAsia="標楷體" w:hAnsi="標楷體" w:cs="新細明體"/>
                <w:color w:val="000000" w:themeColor="text1"/>
                <w:kern w:val="0"/>
                <w:szCs w:val="24"/>
              </w:rPr>
            </w:pPr>
            <w:r w:rsidRPr="00687699">
              <w:rPr>
                <w:rFonts w:ascii="標楷體" w:eastAsia="標楷體" w:hAnsi="標楷體" w:cs="新細明體" w:hint="eastAsia"/>
                <w:color w:val="000000" w:themeColor="text1"/>
                <w:kern w:val="0"/>
                <w:szCs w:val="24"/>
              </w:rPr>
              <w:t>（六）</w:t>
            </w:r>
            <w:r w:rsidRPr="00687699">
              <w:rPr>
                <w:rFonts w:ascii="標楷體" w:eastAsia="標楷體" w:hAnsi="標楷體" w:cs="新細明體" w:hint="eastAsia"/>
                <w:color w:val="000000" w:themeColor="text1"/>
                <w:kern w:val="0"/>
                <w:szCs w:val="24"/>
              </w:rPr>
              <w:tab/>
              <w:t>行動信用卡透過自動櫃員機進行預借現金交易時，須使用「兩項以上技術」，其安全設計應具有下列三項之任兩項以上技術：</w:t>
            </w:r>
          </w:p>
          <w:p w:rsidR="00687699" w:rsidRPr="00687699" w:rsidRDefault="00687699" w:rsidP="008B4252">
            <w:pPr>
              <w:pStyle w:val="a3"/>
              <w:numPr>
                <w:ilvl w:val="0"/>
                <w:numId w:val="7"/>
              </w:numPr>
              <w:kinsoku w:val="0"/>
              <w:overflowPunct w:val="0"/>
              <w:ind w:leftChars="0"/>
              <w:jc w:val="both"/>
              <w:rPr>
                <w:rFonts w:ascii="標楷體" w:eastAsia="標楷體" w:hAnsi="標楷體" w:cs="新細明體"/>
                <w:color w:val="000000" w:themeColor="text1"/>
                <w:kern w:val="0"/>
                <w:szCs w:val="24"/>
              </w:rPr>
            </w:pPr>
            <w:r w:rsidRPr="00687699">
              <w:rPr>
                <w:rFonts w:ascii="標楷體" w:eastAsia="標楷體" w:hAnsi="標楷體" w:cs="新細明體" w:hint="eastAsia"/>
                <w:color w:val="000000" w:themeColor="text1"/>
                <w:kern w:val="0"/>
                <w:szCs w:val="24"/>
              </w:rPr>
              <w:t>持卡人與發卡機構所約定之資訊，且無第三人知悉 (如密碼、圖形鎖、手勢等)。</w:t>
            </w:r>
          </w:p>
          <w:p w:rsidR="00687699" w:rsidRPr="00687699" w:rsidRDefault="00687699" w:rsidP="008B4252">
            <w:pPr>
              <w:pStyle w:val="a3"/>
              <w:numPr>
                <w:ilvl w:val="0"/>
                <w:numId w:val="7"/>
              </w:numPr>
              <w:kinsoku w:val="0"/>
              <w:overflowPunct w:val="0"/>
              <w:ind w:leftChars="0"/>
              <w:jc w:val="both"/>
              <w:rPr>
                <w:rFonts w:ascii="標楷體" w:eastAsia="標楷體" w:hAnsi="標楷體" w:cs="新細明體"/>
                <w:color w:val="000000" w:themeColor="text1"/>
                <w:kern w:val="0"/>
                <w:szCs w:val="24"/>
              </w:rPr>
            </w:pPr>
            <w:r w:rsidRPr="00687699">
              <w:rPr>
                <w:rFonts w:ascii="標楷體" w:eastAsia="標楷體" w:hAnsi="標楷體" w:cs="新細明體" w:hint="eastAsia"/>
                <w:color w:val="000000" w:themeColor="text1"/>
                <w:kern w:val="0"/>
                <w:szCs w:val="24"/>
              </w:rPr>
              <w:t>持卡人所持有之設備，發卡機構應確認該設備為持卡人與發卡機構所約定持有之實體設備 (如密碼產生器、密碼卡、晶片卡、電腦、行動裝置、憑證載具等)。</w:t>
            </w:r>
          </w:p>
          <w:p w:rsidR="00687699" w:rsidRPr="00687699" w:rsidRDefault="00687699" w:rsidP="008B4252">
            <w:pPr>
              <w:pStyle w:val="a3"/>
              <w:numPr>
                <w:ilvl w:val="0"/>
                <w:numId w:val="7"/>
              </w:numPr>
              <w:kinsoku w:val="0"/>
              <w:overflowPunct w:val="0"/>
              <w:ind w:leftChars="0"/>
              <w:jc w:val="both"/>
              <w:rPr>
                <w:rFonts w:ascii="標楷體" w:eastAsia="標楷體" w:hAnsi="標楷體" w:cs="新細明體"/>
                <w:color w:val="000000" w:themeColor="text1"/>
                <w:kern w:val="0"/>
                <w:szCs w:val="24"/>
              </w:rPr>
            </w:pPr>
            <w:r w:rsidRPr="00687699">
              <w:rPr>
                <w:rFonts w:ascii="標楷體" w:eastAsia="標楷體" w:hAnsi="標楷體" w:cs="新細明體" w:hint="eastAsia"/>
                <w:color w:val="000000" w:themeColor="text1"/>
                <w:kern w:val="0"/>
                <w:szCs w:val="24"/>
              </w:rPr>
              <w:t>持卡人提供給發卡機構其所擁有之生物特徵(如指紋、臉部、虹膜、聲音、掌紋、靜脈、簽名等)，發卡機構應直接或間接驗證該生物特徵。間接驗證係指由持卡人端設備(如行動裝置)驗證或委由第三方驗證，發卡機構僅讀取驗證結果，必要時應增加驗證來源辨識。</w:t>
            </w:r>
          </w:p>
        </w:tc>
        <w:tc>
          <w:tcPr>
            <w:tcW w:w="16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687699" w:rsidRPr="00687699" w:rsidRDefault="00DE1AA1" w:rsidP="008B4252">
            <w:pPr>
              <w:kinsoku w:val="0"/>
              <w:overflowPunct w:val="0"/>
              <w:jc w:val="both"/>
              <w:rPr>
                <w:rFonts w:ascii="標楷體" w:eastAsia="標楷體" w:hAnsi="標楷體" w:cs="新細明體"/>
                <w:color w:val="000000" w:themeColor="text1"/>
                <w:kern w:val="0"/>
                <w:szCs w:val="24"/>
              </w:rPr>
            </w:pPr>
            <w:r>
              <w:rPr>
                <w:rFonts w:ascii="標楷體" w:eastAsia="標楷體" w:hAnsi="標楷體" w:cs="新細明體" w:hint="eastAsia"/>
                <w:color w:val="000000" w:themeColor="text1"/>
                <w:kern w:val="0"/>
                <w:szCs w:val="24"/>
              </w:rPr>
              <w:t>-</w:t>
            </w:r>
          </w:p>
        </w:tc>
        <w:tc>
          <w:tcPr>
            <w:tcW w:w="165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E1AA1" w:rsidRDefault="00DE1AA1" w:rsidP="00687699">
            <w:pPr>
              <w:kinsoku w:val="0"/>
              <w:overflowPunct w:val="0"/>
              <w:ind w:leftChars="17" w:left="41" w:firstLine="1"/>
              <w:jc w:val="both"/>
              <w:rPr>
                <w:rFonts w:ascii="標楷體" w:eastAsia="標楷體" w:hAnsi="標楷體" w:cs="新細明體"/>
                <w:color w:val="000000" w:themeColor="text1"/>
                <w:kern w:val="0"/>
                <w:szCs w:val="24"/>
              </w:rPr>
            </w:pPr>
            <w:r>
              <w:rPr>
                <w:rFonts w:ascii="標楷體" w:eastAsia="標楷體" w:hAnsi="標楷體" w:cs="新細明體" w:hint="eastAsia"/>
                <w:color w:val="000000" w:themeColor="text1"/>
                <w:kern w:val="0"/>
                <w:szCs w:val="24"/>
              </w:rPr>
              <w:t>一、</w:t>
            </w:r>
            <w:r w:rsidRPr="00687699">
              <w:rPr>
                <w:rFonts w:ascii="標楷體" w:eastAsia="標楷體" w:hAnsi="標楷體" w:cs="新細明體" w:hint="eastAsia"/>
                <w:color w:val="000000" w:themeColor="text1"/>
                <w:kern w:val="0"/>
                <w:szCs w:val="24"/>
              </w:rPr>
              <w:t>本條新增</w:t>
            </w:r>
          </w:p>
          <w:p w:rsidR="00687699" w:rsidRPr="00687699" w:rsidRDefault="00DE1AA1" w:rsidP="00D5379B">
            <w:pPr>
              <w:kinsoku w:val="0"/>
              <w:overflowPunct w:val="0"/>
              <w:ind w:leftChars="17" w:left="590" w:hanging="549"/>
              <w:jc w:val="both"/>
              <w:rPr>
                <w:rFonts w:ascii="標楷體" w:eastAsia="標楷體" w:hAnsi="標楷體" w:cs="新細明體"/>
                <w:color w:val="000000" w:themeColor="text1"/>
                <w:kern w:val="0"/>
                <w:szCs w:val="24"/>
              </w:rPr>
            </w:pPr>
            <w:r>
              <w:rPr>
                <w:rFonts w:ascii="標楷體" w:eastAsia="標楷體" w:hAnsi="標楷體" w:cs="新細明體" w:hint="eastAsia"/>
                <w:color w:val="000000" w:themeColor="text1"/>
                <w:kern w:val="0"/>
                <w:szCs w:val="24"/>
              </w:rPr>
              <w:t>二、</w:t>
            </w:r>
            <w:r w:rsidR="00A02137" w:rsidRPr="00A02137">
              <w:rPr>
                <w:rFonts w:ascii="標楷體" w:eastAsia="標楷體" w:hAnsi="標楷體" w:cs="新細明體" w:hint="eastAsia"/>
                <w:color w:val="000000" w:themeColor="text1"/>
                <w:kern w:val="0"/>
                <w:szCs w:val="24"/>
              </w:rPr>
              <w:t>針對行動信用卡安全管控之特殊安全設計，新增行動信用卡於自動櫃員機設備預借現金時，持卡人須使用「兩項以上技術」方式驗證身</w:t>
            </w:r>
            <w:r w:rsidR="00D5379B">
              <w:rPr>
                <w:rFonts w:ascii="標楷體" w:eastAsia="標楷體" w:hAnsi="標楷體" w:cs="新細明體" w:hint="eastAsia"/>
                <w:color w:val="000000" w:themeColor="text1"/>
                <w:kern w:val="0"/>
                <w:szCs w:val="24"/>
              </w:rPr>
              <w:t>分</w:t>
            </w:r>
            <w:r w:rsidR="00687699" w:rsidRPr="00687699">
              <w:rPr>
                <w:rFonts w:ascii="標楷體" w:eastAsia="標楷體" w:hAnsi="標楷體" w:cs="新細明體" w:hint="eastAsia"/>
                <w:color w:val="000000" w:themeColor="text1"/>
                <w:kern w:val="0"/>
                <w:szCs w:val="24"/>
              </w:rPr>
              <w:t>。</w:t>
            </w:r>
          </w:p>
        </w:tc>
      </w:tr>
      <w:tr w:rsidR="00302EDD" w:rsidRPr="00887B14" w:rsidTr="00FD4E6F">
        <w:tc>
          <w:tcPr>
            <w:tcW w:w="169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302EDD" w:rsidRDefault="00302EDD" w:rsidP="008B4252">
            <w:pPr>
              <w:kinsoku w:val="0"/>
              <w:overflowPunct w:val="0"/>
              <w:ind w:left="739" w:hangingChars="308" w:hanging="739"/>
              <w:jc w:val="both"/>
              <w:rPr>
                <w:rFonts w:ascii="標楷體" w:eastAsia="標楷體" w:hAnsi="標楷體" w:cs="新細明體"/>
                <w:color w:val="000000" w:themeColor="text1"/>
                <w:kern w:val="0"/>
                <w:szCs w:val="24"/>
              </w:rPr>
            </w:pPr>
            <w:r w:rsidRPr="00302EDD">
              <w:rPr>
                <w:rFonts w:ascii="標楷體" w:eastAsia="標楷體" w:hAnsi="標楷體" w:cs="新細明體" w:hint="eastAsia"/>
                <w:color w:val="000000" w:themeColor="text1"/>
                <w:kern w:val="0"/>
                <w:szCs w:val="24"/>
              </w:rPr>
              <w:t>第四章行動信用卡之安全管控</w:t>
            </w:r>
          </w:p>
          <w:p w:rsidR="00DE1AA1" w:rsidRPr="00DE1AA1" w:rsidRDefault="00DE1AA1" w:rsidP="00DE1AA1">
            <w:pPr>
              <w:kinsoku w:val="0"/>
              <w:overflowPunct w:val="0"/>
              <w:ind w:left="739" w:hangingChars="308" w:hanging="739"/>
              <w:jc w:val="both"/>
              <w:rPr>
                <w:rFonts w:ascii="標楷體" w:eastAsia="標楷體" w:hAnsi="標楷體" w:cs="新細明體"/>
                <w:color w:val="000000" w:themeColor="text1"/>
                <w:kern w:val="0"/>
                <w:szCs w:val="24"/>
              </w:rPr>
            </w:pPr>
            <w:r w:rsidRPr="00DE1AA1">
              <w:rPr>
                <w:rFonts w:ascii="標楷體" w:eastAsia="標楷體" w:hAnsi="標楷體" w:cs="新細明體" w:hint="eastAsia"/>
                <w:color w:val="000000" w:themeColor="text1"/>
                <w:kern w:val="0"/>
                <w:szCs w:val="24"/>
              </w:rPr>
              <w:t>特殊安全設計</w:t>
            </w:r>
          </w:p>
          <w:p w:rsidR="00302EDD" w:rsidRPr="00DE1AA1" w:rsidRDefault="00DE1AA1" w:rsidP="00DE1AA1">
            <w:pPr>
              <w:kinsoku w:val="0"/>
              <w:overflowPunct w:val="0"/>
              <w:jc w:val="both"/>
              <w:rPr>
                <w:rFonts w:ascii="標楷體" w:eastAsia="標楷體" w:hAnsi="標楷體" w:cs="新細明體"/>
                <w:color w:val="000000" w:themeColor="text1"/>
                <w:kern w:val="0"/>
                <w:szCs w:val="24"/>
              </w:rPr>
            </w:pPr>
            <w:r>
              <w:rPr>
                <w:rFonts w:ascii="標楷體" w:eastAsia="標楷體" w:hAnsi="標楷體" w:cs="新細明體" w:hint="eastAsia"/>
                <w:color w:val="000000" w:themeColor="text1"/>
                <w:kern w:val="0"/>
                <w:szCs w:val="24"/>
              </w:rPr>
              <w:t>六、</w:t>
            </w:r>
            <w:r w:rsidR="00302EDD" w:rsidRPr="00DE1AA1">
              <w:rPr>
                <w:rFonts w:ascii="標楷體" w:eastAsia="標楷體" w:hAnsi="標楷體" w:cs="新細明體" w:hint="eastAsia"/>
                <w:color w:val="000000" w:themeColor="text1"/>
                <w:kern w:val="0"/>
                <w:szCs w:val="24"/>
              </w:rPr>
              <w:t>行動信用卡應用程式</w:t>
            </w:r>
          </w:p>
          <w:p w:rsidR="00DE1AA1" w:rsidRPr="00DE1AA1" w:rsidRDefault="00DE1AA1" w:rsidP="00DE1AA1">
            <w:pPr>
              <w:kinsoku w:val="0"/>
              <w:overflowPunct w:val="0"/>
              <w:ind w:left="578" w:hangingChars="241" w:hanging="578"/>
              <w:jc w:val="both"/>
              <w:rPr>
                <w:rFonts w:ascii="標楷體" w:eastAsia="標楷體" w:hAnsi="標楷體" w:cs="新細明體"/>
                <w:color w:val="000000" w:themeColor="text1"/>
                <w:kern w:val="0"/>
                <w:szCs w:val="24"/>
              </w:rPr>
            </w:pPr>
            <w:r w:rsidRPr="00DE1AA1">
              <w:rPr>
                <w:rFonts w:ascii="標楷體" w:eastAsia="標楷體" w:hAnsi="標楷體" w:cs="新細明體" w:hint="eastAsia"/>
                <w:color w:val="000000" w:themeColor="text1"/>
                <w:kern w:val="0"/>
                <w:szCs w:val="24"/>
              </w:rPr>
              <w:lastRenderedPageBreak/>
              <w:t>(三)</w:t>
            </w:r>
            <w:r w:rsidRPr="00DE1AA1">
              <w:rPr>
                <w:rFonts w:ascii="標楷體" w:eastAsia="標楷體" w:hAnsi="標楷體" w:cs="新細明體" w:hint="eastAsia"/>
                <w:color w:val="000000" w:themeColor="text1"/>
                <w:kern w:val="0"/>
                <w:szCs w:val="24"/>
              </w:rPr>
              <w:tab/>
              <w:t>行動信用卡應用程式不應儲存持卡人與發卡機構所約定之資訊(如密碼、圖形鎖、手勢等)。</w:t>
            </w:r>
          </w:p>
        </w:tc>
        <w:tc>
          <w:tcPr>
            <w:tcW w:w="16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302EDD" w:rsidRPr="00887B14" w:rsidRDefault="00DE1AA1" w:rsidP="008B4252">
            <w:pPr>
              <w:kinsoku w:val="0"/>
              <w:overflowPunct w:val="0"/>
              <w:jc w:val="both"/>
              <w:rPr>
                <w:rFonts w:ascii="標楷體" w:eastAsia="標楷體" w:hAnsi="標楷體" w:cs="新細明體"/>
                <w:kern w:val="0"/>
                <w:szCs w:val="24"/>
              </w:rPr>
            </w:pPr>
            <w:r>
              <w:rPr>
                <w:rFonts w:ascii="標楷體" w:eastAsia="標楷體" w:hAnsi="標楷體" w:cs="新細明體" w:hint="eastAsia"/>
                <w:kern w:val="0"/>
                <w:szCs w:val="24"/>
              </w:rPr>
              <w:lastRenderedPageBreak/>
              <w:t>-</w:t>
            </w:r>
          </w:p>
        </w:tc>
        <w:tc>
          <w:tcPr>
            <w:tcW w:w="165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E1AA1" w:rsidRDefault="00DE1AA1" w:rsidP="00DE1AA1">
            <w:pPr>
              <w:kinsoku w:val="0"/>
              <w:overflowPunct w:val="0"/>
              <w:ind w:leftChars="17" w:left="41" w:firstLine="1"/>
              <w:jc w:val="both"/>
              <w:rPr>
                <w:rFonts w:ascii="標楷體" w:eastAsia="標楷體" w:hAnsi="標楷體" w:cs="新細明體"/>
                <w:color w:val="000000" w:themeColor="text1"/>
                <w:kern w:val="0"/>
                <w:szCs w:val="24"/>
              </w:rPr>
            </w:pPr>
            <w:r>
              <w:rPr>
                <w:rFonts w:ascii="標楷體" w:eastAsia="標楷體" w:hAnsi="標楷體" w:cs="新細明體" w:hint="eastAsia"/>
                <w:color w:val="000000" w:themeColor="text1"/>
                <w:kern w:val="0"/>
                <w:szCs w:val="24"/>
              </w:rPr>
              <w:t>一、</w:t>
            </w:r>
            <w:r w:rsidRPr="00DE1AA1">
              <w:rPr>
                <w:rFonts w:ascii="標楷體" w:eastAsia="標楷體" w:hAnsi="標楷體" w:cs="新細明體" w:hint="eastAsia"/>
                <w:color w:val="000000" w:themeColor="text1"/>
                <w:kern w:val="0"/>
                <w:szCs w:val="24"/>
              </w:rPr>
              <w:t>本條新增</w:t>
            </w:r>
            <w:r>
              <w:rPr>
                <w:rFonts w:ascii="標楷體" w:eastAsia="標楷體" w:hAnsi="標楷體" w:cs="新細明體" w:hint="eastAsia"/>
                <w:color w:val="000000" w:themeColor="text1"/>
                <w:kern w:val="0"/>
                <w:szCs w:val="24"/>
              </w:rPr>
              <w:t>。</w:t>
            </w:r>
          </w:p>
          <w:p w:rsidR="00DE1AA1" w:rsidRPr="00302EDD" w:rsidRDefault="00DE1AA1" w:rsidP="00B52529">
            <w:pPr>
              <w:kinsoku w:val="0"/>
              <w:overflowPunct w:val="0"/>
              <w:ind w:leftChars="17" w:left="590" w:hanging="549"/>
              <w:jc w:val="both"/>
              <w:rPr>
                <w:rFonts w:ascii="標楷體" w:eastAsia="標楷體" w:hAnsi="標楷體" w:cs="新細明體"/>
                <w:color w:val="000000" w:themeColor="text1"/>
                <w:kern w:val="0"/>
                <w:szCs w:val="24"/>
              </w:rPr>
            </w:pPr>
            <w:r>
              <w:rPr>
                <w:rFonts w:ascii="標楷體" w:eastAsia="標楷體" w:hAnsi="標楷體" w:cs="新細明體" w:hint="eastAsia"/>
                <w:color w:val="000000" w:themeColor="text1"/>
                <w:kern w:val="0"/>
                <w:szCs w:val="24"/>
              </w:rPr>
              <w:t>二、</w:t>
            </w:r>
            <w:r w:rsidR="00302EDD" w:rsidRPr="00302EDD">
              <w:rPr>
                <w:rFonts w:ascii="標楷體" w:eastAsia="標楷體" w:hAnsi="標楷體" w:cs="新細明體" w:hint="eastAsia"/>
                <w:color w:val="000000" w:themeColor="text1"/>
                <w:kern w:val="0"/>
                <w:szCs w:val="24"/>
              </w:rPr>
              <w:t>針對行動信用卡安全管控之特殊安全設計，新增行動信用卡應用程式</w:t>
            </w:r>
            <w:r w:rsidR="00302EDD" w:rsidRPr="00302EDD">
              <w:rPr>
                <w:rFonts w:ascii="標楷體" w:eastAsia="標楷體" w:hAnsi="標楷體" w:cs="新細明體" w:hint="eastAsia"/>
                <w:color w:val="000000" w:themeColor="text1"/>
                <w:kern w:val="0"/>
                <w:szCs w:val="24"/>
              </w:rPr>
              <w:lastRenderedPageBreak/>
              <w:t>不得儲存持卡人與發卡機構約定之驗證資訊，惟</w:t>
            </w:r>
            <w:r w:rsidRPr="00DE1AA1">
              <w:rPr>
                <w:rFonts w:ascii="標楷體" w:eastAsia="標楷體" w:hAnsi="標楷體" w:cs="新細明體" w:hint="eastAsia"/>
                <w:color w:val="000000" w:themeColor="text1"/>
                <w:kern w:val="0"/>
                <w:szCs w:val="24"/>
              </w:rPr>
              <w:t>透過數位資訊服務供應商應用程式間接驗證之模式</w:t>
            </w:r>
            <w:r w:rsidR="00302EDD" w:rsidRPr="00302EDD">
              <w:rPr>
                <w:rFonts w:ascii="標楷體" w:eastAsia="標楷體" w:hAnsi="標楷體" w:cs="新細明體" w:hint="eastAsia"/>
                <w:color w:val="000000" w:themeColor="text1"/>
                <w:kern w:val="0"/>
                <w:szCs w:val="24"/>
              </w:rPr>
              <w:t>，則不在此限。</w:t>
            </w:r>
          </w:p>
        </w:tc>
      </w:tr>
      <w:tr w:rsidR="00B52529" w:rsidRPr="00887B14" w:rsidTr="00FD4E6F">
        <w:tc>
          <w:tcPr>
            <w:tcW w:w="169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B52529" w:rsidRPr="00302EDD" w:rsidRDefault="00B52529" w:rsidP="00B52529">
            <w:pPr>
              <w:kinsoku w:val="0"/>
              <w:overflowPunct w:val="0"/>
              <w:ind w:left="739" w:hangingChars="308" w:hanging="739"/>
              <w:jc w:val="both"/>
              <w:rPr>
                <w:rFonts w:ascii="標楷體" w:eastAsia="標楷體" w:hAnsi="標楷體" w:cs="新細明體"/>
                <w:color w:val="000000" w:themeColor="text1"/>
                <w:kern w:val="0"/>
                <w:szCs w:val="24"/>
              </w:rPr>
            </w:pPr>
            <w:r w:rsidRPr="00B52529">
              <w:rPr>
                <w:rFonts w:ascii="標楷體" w:eastAsia="標楷體" w:hAnsi="標楷體" w:cs="新細明體" w:hint="eastAsia"/>
                <w:color w:val="000000" w:themeColor="text1"/>
                <w:kern w:val="0"/>
                <w:szCs w:val="24"/>
              </w:rPr>
              <w:lastRenderedPageBreak/>
              <w:t>附錄增列</w:t>
            </w:r>
            <w:r>
              <w:rPr>
                <w:rFonts w:ascii="標楷體" w:eastAsia="標楷體" w:hAnsi="標楷體" w:cs="新細明體" w:hint="eastAsia"/>
                <w:color w:val="000000" w:themeColor="text1"/>
                <w:kern w:val="0"/>
                <w:szCs w:val="24"/>
              </w:rPr>
              <w:t>四、</w:t>
            </w:r>
            <w:r w:rsidRPr="00B52529">
              <w:rPr>
                <w:rFonts w:ascii="標楷體" w:eastAsia="標楷體" w:hAnsi="標楷體" w:cs="新細明體" w:hint="eastAsia"/>
                <w:color w:val="000000" w:themeColor="text1"/>
                <w:kern w:val="0"/>
                <w:szCs w:val="24"/>
              </w:rPr>
              <w:t>JCB組織</w:t>
            </w:r>
            <w:r>
              <w:rPr>
                <w:rFonts w:ascii="標楷體" w:eastAsia="標楷體" w:hAnsi="標楷體" w:cs="新細明體" w:hint="eastAsia"/>
                <w:color w:val="000000" w:themeColor="text1"/>
                <w:kern w:val="0"/>
                <w:szCs w:val="24"/>
              </w:rPr>
              <w:t>規範</w:t>
            </w:r>
          </w:p>
        </w:tc>
        <w:tc>
          <w:tcPr>
            <w:tcW w:w="16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B52529" w:rsidRDefault="00B52529" w:rsidP="008B4252">
            <w:pPr>
              <w:kinsoku w:val="0"/>
              <w:overflowPunct w:val="0"/>
              <w:jc w:val="both"/>
              <w:rPr>
                <w:rFonts w:ascii="標楷體" w:eastAsia="標楷體" w:hAnsi="標楷體" w:cs="新細明體"/>
                <w:kern w:val="0"/>
                <w:szCs w:val="24"/>
              </w:rPr>
            </w:pPr>
            <w:r>
              <w:rPr>
                <w:rFonts w:ascii="標楷體" w:eastAsia="標楷體" w:hAnsi="標楷體" w:cs="新細明體" w:hint="eastAsia"/>
                <w:kern w:val="0"/>
                <w:szCs w:val="24"/>
              </w:rPr>
              <w:t>-</w:t>
            </w:r>
          </w:p>
        </w:tc>
        <w:tc>
          <w:tcPr>
            <w:tcW w:w="165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B52529" w:rsidRDefault="00B52529" w:rsidP="00B52529">
            <w:pPr>
              <w:kinsoku w:val="0"/>
              <w:overflowPunct w:val="0"/>
              <w:ind w:leftChars="17" w:left="41" w:firstLine="1"/>
              <w:jc w:val="both"/>
              <w:rPr>
                <w:rFonts w:ascii="標楷體" w:eastAsia="標楷體" w:hAnsi="標楷體" w:cs="新細明體"/>
                <w:color w:val="000000" w:themeColor="text1"/>
                <w:kern w:val="0"/>
                <w:szCs w:val="24"/>
              </w:rPr>
            </w:pPr>
            <w:r>
              <w:rPr>
                <w:rFonts w:ascii="標楷體" w:eastAsia="標楷體" w:hAnsi="標楷體" w:cs="新細明體" w:hint="eastAsia"/>
                <w:color w:val="000000" w:themeColor="text1"/>
                <w:kern w:val="0"/>
                <w:szCs w:val="24"/>
              </w:rPr>
              <w:t>依</w:t>
            </w:r>
            <w:r w:rsidRPr="00B52529">
              <w:rPr>
                <w:rFonts w:ascii="標楷體" w:eastAsia="標楷體" w:hAnsi="標楷體" w:cs="新細明體" w:hint="eastAsia"/>
                <w:color w:val="000000" w:themeColor="text1"/>
                <w:kern w:val="0"/>
                <w:szCs w:val="24"/>
              </w:rPr>
              <w:t>JCB組織</w:t>
            </w:r>
            <w:r>
              <w:rPr>
                <w:rFonts w:ascii="標楷體" w:eastAsia="標楷體" w:hAnsi="標楷體" w:cs="新細明體" w:hint="eastAsia"/>
                <w:color w:val="000000" w:themeColor="text1"/>
                <w:kern w:val="0"/>
                <w:szCs w:val="24"/>
              </w:rPr>
              <w:t>反映</w:t>
            </w:r>
            <w:r w:rsidR="00A80B4B">
              <w:rPr>
                <w:rFonts w:ascii="標楷體" w:eastAsia="標楷體" w:hAnsi="標楷體" w:cs="新細明體" w:hint="eastAsia"/>
                <w:color w:val="000000" w:themeColor="text1"/>
                <w:kern w:val="0"/>
                <w:szCs w:val="24"/>
              </w:rPr>
              <w:t>該組織</w:t>
            </w:r>
            <w:r>
              <w:rPr>
                <w:rFonts w:ascii="標楷體" w:eastAsia="標楷體" w:hAnsi="標楷體" w:cs="新細明體" w:hint="eastAsia"/>
                <w:color w:val="000000" w:themeColor="text1"/>
                <w:kern w:val="0"/>
                <w:szCs w:val="24"/>
              </w:rPr>
              <w:t>業訂有</w:t>
            </w:r>
            <w:r w:rsidRPr="00B52529">
              <w:rPr>
                <w:rFonts w:ascii="標楷體" w:eastAsia="標楷體" w:hAnsi="標楷體" w:cs="新細明體" w:hint="eastAsia"/>
                <w:color w:val="000000" w:themeColor="text1"/>
                <w:kern w:val="0"/>
                <w:szCs w:val="24"/>
              </w:rPr>
              <w:t>行動信用卡相關規範</w:t>
            </w:r>
            <w:r>
              <w:rPr>
                <w:rFonts w:ascii="標楷體" w:eastAsia="標楷體" w:hAnsi="標楷體" w:cs="新細明體" w:hint="eastAsia"/>
                <w:color w:val="000000" w:themeColor="text1"/>
                <w:kern w:val="0"/>
                <w:szCs w:val="24"/>
              </w:rPr>
              <w:t>，爰增列之。</w:t>
            </w:r>
          </w:p>
        </w:tc>
      </w:tr>
    </w:tbl>
    <w:p w:rsidR="00887B14" w:rsidRDefault="00887B14" w:rsidP="00A80B4B">
      <w:pPr>
        <w:rPr>
          <w:rFonts w:ascii="標楷體" w:eastAsia="標楷體" w:hAnsi="標楷體"/>
          <w:color w:val="FF0000"/>
        </w:rPr>
      </w:pPr>
    </w:p>
    <w:p w:rsidR="00FD4E6F" w:rsidRPr="00A94280" w:rsidRDefault="00FD4E6F" w:rsidP="00A80B4B">
      <w:pPr>
        <w:rPr>
          <w:rFonts w:ascii="標楷體" w:eastAsia="標楷體" w:hAnsi="標楷體"/>
          <w:color w:val="FF0000"/>
        </w:rPr>
      </w:pPr>
    </w:p>
    <w:sectPr w:rsidR="00FD4E6F" w:rsidRPr="00A94280" w:rsidSect="00973D2C">
      <w:footerReference w:type="default" r:id="rId7"/>
      <w:pgSz w:w="11906" w:h="16838" w:code="9"/>
      <w:pgMar w:top="1440" w:right="1134" w:bottom="1440" w:left="1134" w:header="851" w:footer="567"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0308" w:rsidRDefault="000F0308" w:rsidP="0012749B">
      <w:r>
        <w:separator/>
      </w:r>
    </w:p>
  </w:endnote>
  <w:endnote w:type="continuationSeparator" w:id="0">
    <w:p w:rsidR="000F0308" w:rsidRDefault="000F0308" w:rsidP="00127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5378076"/>
      <w:docPartObj>
        <w:docPartGallery w:val="Page Numbers (Bottom of Page)"/>
        <w:docPartUnique/>
      </w:docPartObj>
    </w:sdtPr>
    <w:sdtEndPr/>
    <w:sdtContent>
      <w:p w:rsidR="00A010DA" w:rsidRDefault="00A01101">
        <w:pPr>
          <w:pStyle w:val="a6"/>
          <w:jc w:val="center"/>
        </w:pPr>
        <w:r>
          <w:fldChar w:fldCharType="begin"/>
        </w:r>
        <w:r w:rsidR="00A010DA">
          <w:instrText>PAGE   \* MERGEFORMAT</w:instrText>
        </w:r>
        <w:r>
          <w:fldChar w:fldCharType="separate"/>
        </w:r>
        <w:r w:rsidR="00A75011" w:rsidRPr="00A75011">
          <w:rPr>
            <w:noProof/>
            <w:lang w:val="zh-TW"/>
          </w:rPr>
          <w:t>2</w:t>
        </w:r>
        <w:r>
          <w:fldChar w:fldCharType="end"/>
        </w:r>
      </w:p>
    </w:sdtContent>
  </w:sdt>
  <w:p w:rsidR="00A010DA" w:rsidRDefault="00A010DA">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0308" w:rsidRDefault="000F0308" w:rsidP="0012749B">
      <w:r>
        <w:separator/>
      </w:r>
    </w:p>
  </w:footnote>
  <w:footnote w:type="continuationSeparator" w:id="0">
    <w:p w:rsidR="000F0308" w:rsidRDefault="000F0308" w:rsidP="001274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14AC0"/>
    <w:multiLevelType w:val="hybridMultilevel"/>
    <w:tmpl w:val="1CECD5F6"/>
    <w:lvl w:ilvl="0" w:tplc="0409000F">
      <w:start w:val="1"/>
      <w:numFmt w:val="decimal"/>
      <w:lvlText w:val="%1."/>
      <w:lvlJc w:val="left"/>
      <w:pPr>
        <w:tabs>
          <w:tab w:val="num" w:pos="1200"/>
        </w:tabs>
        <w:ind w:left="1200" w:hanging="480"/>
      </w:p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1" w15:restartNumberingAfterBreak="0">
    <w:nsid w:val="16D52A86"/>
    <w:multiLevelType w:val="hybridMultilevel"/>
    <w:tmpl w:val="EFE499E4"/>
    <w:lvl w:ilvl="0" w:tplc="04090015">
      <w:start w:val="4"/>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26874804"/>
    <w:multiLevelType w:val="hybridMultilevel"/>
    <w:tmpl w:val="C2E2D6D6"/>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 w15:restartNumberingAfterBreak="0">
    <w:nsid w:val="2D112623"/>
    <w:multiLevelType w:val="hybridMultilevel"/>
    <w:tmpl w:val="9E5E1522"/>
    <w:lvl w:ilvl="0" w:tplc="FCA2870E">
      <w:start w:val="1"/>
      <w:numFmt w:val="taiwaneseCountingThousand"/>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 w15:restartNumberingAfterBreak="0">
    <w:nsid w:val="32785013"/>
    <w:multiLevelType w:val="hybridMultilevel"/>
    <w:tmpl w:val="AF84085A"/>
    <w:lvl w:ilvl="0" w:tplc="0409000F">
      <w:start w:val="1"/>
      <w:numFmt w:val="decimal"/>
      <w:lvlText w:val="%1."/>
      <w:lvlJc w:val="left"/>
      <w:pPr>
        <w:ind w:left="480" w:hanging="480"/>
      </w:pPr>
    </w:lvl>
    <w:lvl w:ilvl="1" w:tplc="FCA2870E">
      <w:start w:val="1"/>
      <w:numFmt w:val="taiwaneseCountingThousand"/>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52C75200"/>
    <w:multiLevelType w:val="hybridMultilevel"/>
    <w:tmpl w:val="10062D52"/>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6A7E29F0"/>
    <w:multiLevelType w:val="hybridMultilevel"/>
    <w:tmpl w:val="1CECD5F6"/>
    <w:lvl w:ilvl="0" w:tplc="0409000F">
      <w:start w:val="1"/>
      <w:numFmt w:val="decimal"/>
      <w:lvlText w:val="%1."/>
      <w:lvlJc w:val="left"/>
      <w:pPr>
        <w:tabs>
          <w:tab w:val="num" w:pos="1200"/>
        </w:tabs>
        <w:ind w:left="1200" w:hanging="480"/>
      </w:p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num w:numId="1">
    <w:abstractNumId w:val="5"/>
  </w:num>
  <w:num w:numId="2">
    <w:abstractNumId w:val="6"/>
  </w:num>
  <w:num w:numId="3">
    <w:abstractNumId w:val="0"/>
  </w:num>
  <w:num w:numId="4">
    <w:abstractNumId w:val="1"/>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000C"/>
    <w:rsid w:val="000165FE"/>
    <w:rsid w:val="00045462"/>
    <w:rsid w:val="00083589"/>
    <w:rsid w:val="000C42C9"/>
    <w:rsid w:val="000F0308"/>
    <w:rsid w:val="000F4622"/>
    <w:rsid w:val="0012749B"/>
    <w:rsid w:val="0014000C"/>
    <w:rsid w:val="001E604F"/>
    <w:rsid w:val="0022590F"/>
    <w:rsid w:val="00254CF4"/>
    <w:rsid w:val="002970DD"/>
    <w:rsid w:val="00302EDD"/>
    <w:rsid w:val="0035201A"/>
    <w:rsid w:val="00370DD2"/>
    <w:rsid w:val="003F4524"/>
    <w:rsid w:val="00400DC6"/>
    <w:rsid w:val="004040F0"/>
    <w:rsid w:val="004C08D8"/>
    <w:rsid w:val="004D5FCC"/>
    <w:rsid w:val="00502E73"/>
    <w:rsid w:val="00526255"/>
    <w:rsid w:val="005B6ACC"/>
    <w:rsid w:val="00682913"/>
    <w:rsid w:val="00687699"/>
    <w:rsid w:val="006C7127"/>
    <w:rsid w:val="006F3AB3"/>
    <w:rsid w:val="007457CC"/>
    <w:rsid w:val="00846F89"/>
    <w:rsid w:val="008852FB"/>
    <w:rsid w:val="00887B14"/>
    <w:rsid w:val="008F2CC7"/>
    <w:rsid w:val="009119DD"/>
    <w:rsid w:val="00930CF9"/>
    <w:rsid w:val="00953E44"/>
    <w:rsid w:val="00973D2C"/>
    <w:rsid w:val="009B0FD9"/>
    <w:rsid w:val="009C4010"/>
    <w:rsid w:val="009C6D77"/>
    <w:rsid w:val="009F2E27"/>
    <w:rsid w:val="00A010DA"/>
    <w:rsid w:val="00A01101"/>
    <w:rsid w:val="00A02137"/>
    <w:rsid w:val="00A75011"/>
    <w:rsid w:val="00A80B4B"/>
    <w:rsid w:val="00A94280"/>
    <w:rsid w:val="00B06E43"/>
    <w:rsid w:val="00B50F78"/>
    <w:rsid w:val="00B52529"/>
    <w:rsid w:val="00BE6B40"/>
    <w:rsid w:val="00C74435"/>
    <w:rsid w:val="00CA2F18"/>
    <w:rsid w:val="00D4563A"/>
    <w:rsid w:val="00D5379B"/>
    <w:rsid w:val="00D71F05"/>
    <w:rsid w:val="00DB4E3E"/>
    <w:rsid w:val="00DE1AA1"/>
    <w:rsid w:val="00E6471E"/>
    <w:rsid w:val="00E87AEB"/>
    <w:rsid w:val="00E94BDD"/>
    <w:rsid w:val="00ED2804"/>
    <w:rsid w:val="00FD4E6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2E417C6-E06E-44A9-9DE4-6D9738D8C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A2F18"/>
    <w:pPr>
      <w:ind w:leftChars="200" w:left="480"/>
    </w:pPr>
  </w:style>
  <w:style w:type="paragraph" w:styleId="a4">
    <w:name w:val="header"/>
    <w:basedOn w:val="a"/>
    <w:link w:val="a5"/>
    <w:uiPriority w:val="99"/>
    <w:unhideWhenUsed/>
    <w:rsid w:val="0012749B"/>
    <w:pPr>
      <w:tabs>
        <w:tab w:val="center" w:pos="4153"/>
        <w:tab w:val="right" w:pos="8306"/>
      </w:tabs>
      <w:snapToGrid w:val="0"/>
    </w:pPr>
    <w:rPr>
      <w:sz w:val="20"/>
      <w:szCs w:val="20"/>
    </w:rPr>
  </w:style>
  <w:style w:type="character" w:customStyle="1" w:styleId="a5">
    <w:name w:val="頁首 字元"/>
    <w:basedOn w:val="a0"/>
    <w:link w:val="a4"/>
    <w:uiPriority w:val="99"/>
    <w:rsid w:val="0012749B"/>
    <w:rPr>
      <w:sz w:val="20"/>
      <w:szCs w:val="20"/>
    </w:rPr>
  </w:style>
  <w:style w:type="paragraph" w:styleId="a6">
    <w:name w:val="footer"/>
    <w:basedOn w:val="a"/>
    <w:link w:val="a7"/>
    <w:uiPriority w:val="99"/>
    <w:unhideWhenUsed/>
    <w:rsid w:val="0012749B"/>
    <w:pPr>
      <w:tabs>
        <w:tab w:val="center" w:pos="4153"/>
        <w:tab w:val="right" w:pos="8306"/>
      </w:tabs>
      <w:snapToGrid w:val="0"/>
    </w:pPr>
    <w:rPr>
      <w:sz w:val="20"/>
      <w:szCs w:val="20"/>
    </w:rPr>
  </w:style>
  <w:style w:type="character" w:customStyle="1" w:styleId="a7">
    <w:name w:val="頁尾 字元"/>
    <w:basedOn w:val="a0"/>
    <w:link w:val="a6"/>
    <w:uiPriority w:val="99"/>
    <w:rsid w:val="0012749B"/>
    <w:rPr>
      <w:sz w:val="20"/>
      <w:szCs w:val="20"/>
    </w:rPr>
  </w:style>
  <w:style w:type="paragraph" w:styleId="Web">
    <w:name w:val="Normal (Web)"/>
    <w:basedOn w:val="a"/>
    <w:semiHidden/>
    <w:rsid w:val="007457CC"/>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236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331</Words>
  <Characters>1891</Characters>
  <Application>Microsoft Office Word</Application>
  <DocSecurity>0</DocSecurity>
  <Lines>15</Lines>
  <Paragraphs>4</Paragraphs>
  <ScaleCrop>false</ScaleCrop>
  <Company/>
  <LinksUpToDate>false</LinksUpToDate>
  <CharactersWithSpaces>2218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馬紹懷(Ray Ma)</dc:creator>
  <cp:lastModifiedBy>User</cp:lastModifiedBy>
  <cp:revision>2</cp:revision>
  <dcterms:created xsi:type="dcterms:W3CDTF">2018-11-27T03:19:00Z</dcterms:created>
  <dcterms:modified xsi:type="dcterms:W3CDTF">2018-11-27T03:19:00Z</dcterms:modified>
</cp:coreProperties>
</file>