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E99" w:rsidRDefault="00E11C01" w:rsidP="00AD2110">
      <w:pPr>
        <w:spacing w:line="500" w:lineRule="exact"/>
        <w:jc w:val="center"/>
        <w:rPr>
          <w:rFonts w:ascii="標楷體" w:eastAsia="標楷體" w:hAnsi="標楷體"/>
          <w:sz w:val="36"/>
          <w:szCs w:val="36"/>
        </w:rPr>
      </w:pPr>
      <w:r w:rsidRPr="00AD2110">
        <w:rPr>
          <w:rFonts w:ascii="標楷體" w:eastAsia="標楷體" w:hAnsi="標楷體" w:cs="新細明體" w:hint="eastAsia"/>
          <w:color w:val="000000"/>
          <w:kern w:val="0"/>
          <w:sz w:val="36"/>
          <w:szCs w:val="36"/>
        </w:rPr>
        <w:t>「</w:t>
      </w:r>
      <w:r w:rsidR="00D61E99" w:rsidRPr="00AD2110">
        <w:rPr>
          <w:rFonts w:ascii="標楷體" w:eastAsia="標楷體" w:hAnsi="標楷體" w:hint="eastAsia"/>
          <w:sz w:val="36"/>
          <w:szCs w:val="36"/>
        </w:rPr>
        <w:t>銀行銷戶處理程序自律規範」</w:t>
      </w:r>
      <w:r w:rsidR="00AD2110" w:rsidRPr="00AD2110">
        <w:rPr>
          <w:rFonts w:ascii="標楷體" w:eastAsia="標楷體" w:hAnsi="標楷體" w:hint="eastAsia"/>
          <w:sz w:val="36"/>
          <w:szCs w:val="36"/>
        </w:rPr>
        <w:t>第二條</w:t>
      </w:r>
      <w:r w:rsidR="00D61E99" w:rsidRPr="00AD2110">
        <w:rPr>
          <w:rFonts w:ascii="標楷體" w:eastAsia="標楷體" w:hAnsi="標楷體" w:hint="eastAsia"/>
          <w:sz w:val="36"/>
          <w:szCs w:val="36"/>
        </w:rPr>
        <w:t>修正</w:t>
      </w:r>
      <w:bookmarkStart w:id="0" w:name="_GoBack"/>
      <w:bookmarkEnd w:id="0"/>
      <w:r w:rsidR="00D61E99" w:rsidRPr="00AD2110">
        <w:rPr>
          <w:rFonts w:ascii="標楷體" w:eastAsia="標楷體" w:hAnsi="標楷體" w:hint="eastAsia"/>
          <w:sz w:val="36"/>
          <w:szCs w:val="36"/>
        </w:rPr>
        <w:t>對照表</w:t>
      </w:r>
    </w:p>
    <w:p w:rsidR="00AD2110" w:rsidRPr="00AD2110" w:rsidRDefault="00AD2110" w:rsidP="00AD2110">
      <w:pPr>
        <w:spacing w:line="500" w:lineRule="exact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9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0"/>
        <w:gridCol w:w="3300"/>
        <w:gridCol w:w="2714"/>
      </w:tblGrid>
      <w:tr w:rsidR="00E11C01" w:rsidRPr="00231CC6" w:rsidTr="00CB5AC0">
        <w:trPr>
          <w:trHeight w:val="488"/>
          <w:tblHeader/>
          <w:jc w:val="center"/>
        </w:trPr>
        <w:tc>
          <w:tcPr>
            <w:tcW w:w="3300" w:type="dxa"/>
            <w:vAlign w:val="center"/>
          </w:tcPr>
          <w:p w:rsidR="00E11C01" w:rsidRPr="00231CC6" w:rsidRDefault="00D61E99" w:rsidP="00AB1ECB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修正條文</w:t>
            </w:r>
          </w:p>
        </w:tc>
        <w:tc>
          <w:tcPr>
            <w:tcW w:w="3300" w:type="dxa"/>
            <w:vAlign w:val="center"/>
          </w:tcPr>
          <w:p w:rsidR="00E11C01" w:rsidRPr="00231CC6" w:rsidRDefault="00E11C01" w:rsidP="00AB1EC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31CC6">
              <w:rPr>
                <w:rFonts w:ascii="標楷體" w:eastAsia="標楷體" w:hAnsi="標楷體" w:hint="eastAsia"/>
                <w:color w:val="000000"/>
              </w:rPr>
              <w:t>現行</w:t>
            </w:r>
            <w:r w:rsidR="00D61E99">
              <w:rPr>
                <w:rFonts w:ascii="標楷體" w:eastAsia="標楷體" w:hAnsi="標楷體" w:hint="eastAsia"/>
                <w:color w:val="000000"/>
              </w:rPr>
              <w:t>條文</w:t>
            </w:r>
          </w:p>
        </w:tc>
        <w:tc>
          <w:tcPr>
            <w:tcW w:w="2714" w:type="dxa"/>
            <w:vAlign w:val="center"/>
          </w:tcPr>
          <w:p w:rsidR="00E11C01" w:rsidRPr="00231CC6" w:rsidRDefault="00E11C01" w:rsidP="00AB1EC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31CC6">
              <w:rPr>
                <w:rFonts w:ascii="標楷體" w:eastAsia="標楷體" w:hAnsi="標楷體" w:hint="eastAsia"/>
                <w:color w:val="000000"/>
              </w:rPr>
              <w:t>說明</w:t>
            </w:r>
          </w:p>
        </w:tc>
      </w:tr>
      <w:tr w:rsidR="00BC36F2" w:rsidRPr="00A50697" w:rsidTr="004224FD">
        <w:trPr>
          <w:trHeight w:val="1189"/>
          <w:jc w:val="center"/>
        </w:trPr>
        <w:tc>
          <w:tcPr>
            <w:tcW w:w="3300" w:type="dxa"/>
          </w:tcPr>
          <w:p w:rsidR="00AF2E61" w:rsidRPr="00AF2E61" w:rsidRDefault="00AF2E61" w:rsidP="00AF2E61">
            <w:pPr>
              <w:autoSpaceDE w:val="0"/>
              <w:autoSpaceDN w:val="0"/>
              <w:adjustRightInd w:val="0"/>
              <w:spacing w:line="276" w:lineRule="auto"/>
              <w:ind w:left="259" w:hangingChars="108" w:hanging="259"/>
              <w:jc w:val="both"/>
              <w:rPr>
                <w:rFonts w:ascii="標楷體" w:eastAsia="標楷體" w:hAnsi="標楷體" w:cs="NotoSansCJKjp-Regular-VKana"/>
                <w:kern w:val="0"/>
                <w:szCs w:val="24"/>
              </w:rPr>
            </w:pP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第二條</w:t>
            </w: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ab/>
            </w:r>
          </w:p>
          <w:p w:rsidR="00AF2E61" w:rsidRPr="00AF2E61" w:rsidRDefault="00AF2E61" w:rsidP="00AF2E61">
            <w:pPr>
              <w:autoSpaceDE w:val="0"/>
              <w:autoSpaceDN w:val="0"/>
              <w:adjustRightInd w:val="0"/>
              <w:spacing w:line="276" w:lineRule="auto"/>
              <w:ind w:left="485" w:hangingChars="202" w:hanging="485"/>
              <w:jc w:val="both"/>
              <w:rPr>
                <w:rFonts w:ascii="標楷體" w:eastAsia="標楷體" w:hAnsi="標楷體" w:cs="NotoSansCJKjp-Regular-VKana"/>
                <w:kern w:val="0"/>
                <w:szCs w:val="24"/>
              </w:rPr>
            </w:pP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三、以網路方式受理結清銷戶</w:t>
            </w:r>
          </w:p>
          <w:p w:rsidR="00AF2E61" w:rsidRPr="00AF2E61" w:rsidRDefault="00AF2E61" w:rsidP="00AF2E61">
            <w:pPr>
              <w:autoSpaceDE w:val="0"/>
              <w:autoSpaceDN w:val="0"/>
              <w:adjustRightInd w:val="0"/>
              <w:spacing w:line="276" w:lineRule="auto"/>
              <w:ind w:leftChars="197" w:left="474" w:hanging="1"/>
              <w:jc w:val="both"/>
              <w:rPr>
                <w:rFonts w:ascii="標楷體" w:eastAsia="標楷體" w:hAnsi="標楷體" w:cs="NotoSansCJKjp-Regular-VKana"/>
                <w:kern w:val="0"/>
                <w:szCs w:val="24"/>
              </w:rPr>
            </w:pP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存戶以網路結清銷戶方式申辦時，活期性存款帳戶(不含支票存款)餘額以不超過新台幣伍萬元（或等值外幣）為限、支票存款帳戶餘額應為零、剩餘空白票據劃線作廢且已無票據流通在外，銀行應擬具相關配套措施，辦理結清銷戶：</w:t>
            </w:r>
          </w:p>
          <w:p w:rsidR="00AF2E61" w:rsidRPr="00AF2E61" w:rsidRDefault="00AF2E61" w:rsidP="00AF2E61">
            <w:pPr>
              <w:autoSpaceDE w:val="0"/>
              <w:autoSpaceDN w:val="0"/>
              <w:adjustRightInd w:val="0"/>
              <w:spacing w:line="276" w:lineRule="auto"/>
              <w:ind w:leftChars="196" w:left="957" w:hangingChars="203" w:hanging="487"/>
              <w:jc w:val="both"/>
              <w:rPr>
                <w:rFonts w:ascii="標楷體" w:eastAsia="標楷體" w:hAnsi="標楷體" w:cs="NotoSansCJKjp-Regular-VKana"/>
                <w:kern w:val="0"/>
                <w:szCs w:val="24"/>
              </w:rPr>
            </w:pP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(一</w:t>
            </w:r>
            <w:r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)</w:t>
            </w: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應以顯著之方式，於網站網頁上揭露結清銷戶相關內容，具供存戶審閱、點選「同意」及確認功能，系統並應具備檢核機制。</w:t>
            </w:r>
          </w:p>
          <w:p w:rsidR="00AF2E61" w:rsidRPr="00AF2E61" w:rsidRDefault="00AF2E61" w:rsidP="00AF2E61">
            <w:pPr>
              <w:autoSpaceDE w:val="0"/>
              <w:autoSpaceDN w:val="0"/>
              <w:adjustRightInd w:val="0"/>
              <w:spacing w:line="276" w:lineRule="auto"/>
              <w:ind w:leftChars="196" w:left="957" w:hangingChars="203" w:hanging="487"/>
              <w:jc w:val="both"/>
              <w:rPr>
                <w:rFonts w:ascii="標楷體" w:eastAsia="標楷體" w:hAnsi="標楷體" w:cs="NotoSansCJKjp-Regular-VKana"/>
                <w:kern w:val="0"/>
                <w:szCs w:val="24"/>
              </w:rPr>
            </w:pP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(二)</w:t>
            </w: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ab/>
              <w:t>銀行應以適當方式確認存戶身分。</w:t>
            </w:r>
          </w:p>
          <w:p w:rsidR="00AF2E61" w:rsidRPr="00AF2E61" w:rsidRDefault="00AF2E61" w:rsidP="00AF2E61">
            <w:pPr>
              <w:autoSpaceDE w:val="0"/>
              <w:autoSpaceDN w:val="0"/>
              <w:adjustRightInd w:val="0"/>
              <w:spacing w:line="276" w:lineRule="auto"/>
              <w:ind w:leftChars="196" w:left="957" w:hangingChars="203" w:hanging="487"/>
              <w:jc w:val="both"/>
              <w:rPr>
                <w:rFonts w:ascii="標楷體" w:eastAsia="標楷體" w:hAnsi="標楷體" w:cs="NotoSansCJKjp-Regular-VKana"/>
                <w:kern w:val="0"/>
                <w:szCs w:val="24"/>
              </w:rPr>
            </w:pP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(三)</w:t>
            </w: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ab/>
              <w:t>存戶結清活期帳戶仍有餘額者，銀行得於扣除相關費用後，依存戶指示匯入本人之其他帳戶，銀行應以適當方式確認。</w:t>
            </w:r>
          </w:p>
          <w:p w:rsidR="00BC36F2" w:rsidRPr="00D61E99" w:rsidRDefault="00AF2E61" w:rsidP="00AF2E61">
            <w:pPr>
              <w:autoSpaceDE w:val="0"/>
              <w:autoSpaceDN w:val="0"/>
              <w:adjustRightInd w:val="0"/>
              <w:spacing w:line="276" w:lineRule="auto"/>
              <w:ind w:leftChars="196" w:left="957" w:hangingChars="203" w:hanging="487"/>
              <w:jc w:val="both"/>
              <w:rPr>
                <w:rFonts w:ascii="標楷體" w:eastAsia="標楷體" w:hAnsi="標楷體" w:cs="NotoSansCJKjp-Regular-VKana"/>
                <w:kern w:val="0"/>
                <w:szCs w:val="24"/>
              </w:rPr>
            </w:pP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(四)</w:t>
            </w: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ab/>
              <w:t>結清銷戶基準日係</w:t>
            </w: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lastRenderedPageBreak/>
              <w:t>以銀行電腦系統完成銷戶當日為準。</w:t>
            </w:r>
          </w:p>
        </w:tc>
        <w:tc>
          <w:tcPr>
            <w:tcW w:w="3300" w:type="dxa"/>
          </w:tcPr>
          <w:p w:rsidR="00CB5AC0" w:rsidRPr="00AF2E61" w:rsidRDefault="00CB5AC0" w:rsidP="00CB5AC0">
            <w:pPr>
              <w:autoSpaceDE w:val="0"/>
              <w:autoSpaceDN w:val="0"/>
              <w:adjustRightInd w:val="0"/>
              <w:spacing w:line="276" w:lineRule="auto"/>
              <w:ind w:left="259" w:hangingChars="108" w:hanging="259"/>
              <w:jc w:val="both"/>
              <w:rPr>
                <w:rFonts w:ascii="標楷體" w:eastAsia="標楷體" w:hAnsi="標楷體" w:cs="NotoSansCJKjp-Regular-VKana"/>
                <w:kern w:val="0"/>
                <w:szCs w:val="24"/>
              </w:rPr>
            </w:pP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lastRenderedPageBreak/>
              <w:t>第二條</w:t>
            </w: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ab/>
            </w:r>
          </w:p>
          <w:p w:rsidR="00CB5AC0" w:rsidRPr="00AF2E61" w:rsidRDefault="00CB5AC0" w:rsidP="00CB5AC0">
            <w:pPr>
              <w:autoSpaceDE w:val="0"/>
              <w:autoSpaceDN w:val="0"/>
              <w:adjustRightInd w:val="0"/>
              <w:spacing w:line="276" w:lineRule="auto"/>
              <w:ind w:left="485" w:hangingChars="202" w:hanging="485"/>
              <w:jc w:val="both"/>
              <w:rPr>
                <w:rFonts w:ascii="標楷體" w:eastAsia="標楷體" w:hAnsi="標楷體" w:cs="NotoSansCJKjp-Regular-VKana"/>
                <w:kern w:val="0"/>
                <w:szCs w:val="24"/>
              </w:rPr>
            </w:pP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三、以網路方式受理結清銷戶</w:t>
            </w:r>
          </w:p>
          <w:p w:rsidR="00CB5AC0" w:rsidRPr="00AF2E61" w:rsidRDefault="00CB5AC0" w:rsidP="00CB5AC0">
            <w:pPr>
              <w:autoSpaceDE w:val="0"/>
              <w:autoSpaceDN w:val="0"/>
              <w:adjustRightInd w:val="0"/>
              <w:spacing w:line="276" w:lineRule="auto"/>
              <w:ind w:leftChars="197" w:left="474" w:hanging="1"/>
              <w:jc w:val="both"/>
              <w:rPr>
                <w:rFonts w:ascii="標楷體" w:eastAsia="標楷體" w:hAnsi="標楷體" w:cs="NotoSansCJKjp-Regular-VKana"/>
                <w:kern w:val="0"/>
                <w:szCs w:val="24"/>
              </w:rPr>
            </w:pP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存戶以網路結清銷戶方式申辦時，活期性存款帳戶(不含支票存款及</w:t>
            </w:r>
            <w:r w:rsidRPr="00CB5AC0">
              <w:rPr>
                <w:rFonts w:ascii="標楷體" w:eastAsia="標楷體" w:hAnsi="標楷體" w:cs="NotoSansCJKjp-Regular-VKana" w:hint="eastAsia"/>
                <w:b/>
                <w:kern w:val="0"/>
                <w:szCs w:val="24"/>
                <w:u w:val="single"/>
              </w:rPr>
              <w:t>儲值支付帳戶</w:t>
            </w: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)餘額以不超過新台幣伍萬元（或等值外幣）為限、支票存款帳戶餘額應為零、剩餘空白票據劃線作廢且已無票據流通在外，銀行應擬具相關配套措施，辦理結清銷戶：</w:t>
            </w:r>
          </w:p>
          <w:p w:rsidR="00CB5AC0" w:rsidRPr="00AF2E61" w:rsidRDefault="00CB5AC0" w:rsidP="00CB5AC0">
            <w:pPr>
              <w:autoSpaceDE w:val="0"/>
              <w:autoSpaceDN w:val="0"/>
              <w:adjustRightInd w:val="0"/>
              <w:spacing w:line="276" w:lineRule="auto"/>
              <w:ind w:leftChars="196" w:left="957" w:hangingChars="203" w:hanging="487"/>
              <w:jc w:val="both"/>
              <w:rPr>
                <w:rFonts w:ascii="標楷體" w:eastAsia="標楷體" w:hAnsi="標楷體" w:cs="NotoSansCJKjp-Regular-VKana"/>
                <w:kern w:val="0"/>
                <w:szCs w:val="24"/>
              </w:rPr>
            </w:pP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(一</w:t>
            </w:r>
            <w:r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)</w:t>
            </w: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應以顯著之方式，於網站網頁上揭露結清銷戶相關內容，具供存戶審閱、點選「同意」及確認功能，系統並應具備檢核機制。</w:t>
            </w:r>
          </w:p>
          <w:p w:rsidR="00CB5AC0" w:rsidRPr="00AF2E61" w:rsidRDefault="00CB5AC0" w:rsidP="00CB5AC0">
            <w:pPr>
              <w:autoSpaceDE w:val="0"/>
              <w:autoSpaceDN w:val="0"/>
              <w:adjustRightInd w:val="0"/>
              <w:spacing w:line="276" w:lineRule="auto"/>
              <w:ind w:leftChars="196" w:left="957" w:hangingChars="203" w:hanging="487"/>
              <w:jc w:val="both"/>
              <w:rPr>
                <w:rFonts w:ascii="標楷體" w:eastAsia="標楷體" w:hAnsi="標楷體" w:cs="NotoSansCJKjp-Regular-VKana"/>
                <w:kern w:val="0"/>
                <w:szCs w:val="24"/>
              </w:rPr>
            </w:pP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(二)</w:t>
            </w: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ab/>
              <w:t>銀行應以適當方式確認存戶身分。</w:t>
            </w:r>
          </w:p>
          <w:p w:rsidR="00CB5AC0" w:rsidRPr="00AF2E61" w:rsidRDefault="00CB5AC0" w:rsidP="00CB5AC0">
            <w:pPr>
              <w:autoSpaceDE w:val="0"/>
              <w:autoSpaceDN w:val="0"/>
              <w:adjustRightInd w:val="0"/>
              <w:spacing w:line="276" w:lineRule="auto"/>
              <w:ind w:leftChars="196" w:left="957" w:hangingChars="203" w:hanging="487"/>
              <w:jc w:val="both"/>
              <w:rPr>
                <w:rFonts w:ascii="標楷體" w:eastAsia="標楷體" w:hAnsi="標楷體" w:cs="NotoSansCJKjp-Regular-VKana"/>
                <w:kern w:val="0"/>
                <w:szCs w:val="24"/>
              </w:rPr>
            </w:pP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(三)</w:t>
            </w: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ab/>
              <w:t>存戶結清活期帳戶仍有餘額者，銀行得於扣除相關費用後，依存戶指示匯入本人之其他帳戶，銀行應以適當方式確認。</w:t>
            </w:r>
          </w:p>
          <w:p w:rsidR="00BC36F2" w:rsidRPr="00D61E99" w:rsidRDefault="00CB5AC0" w:rsidP="004224FD">
            <w:pPr>
              <w:autoSpaceDE w:val="0"/>
              <w:autoSpaceDN w:val="0"/>
              <w:adjustRightInd w:val="0"/>
              <w:spacing w:line="276" w:lineRule="auto"/>
              <w:ind w:leftChars="196" w:left="957" w:hangingChars="203" w:hanging="487"/>
              <w:jc w:val="both"/>
              <w:rPr>
                <w:rFonts w:ascii="標楷體" w:eastAsia="標楷體" w:hAnsi="標楷體" w:cs="NotoSansCJKjp-Regular-VKana"/>
                <w:kern w:val="0"/>
                <w:szCs w:val="24"/>
              </w:rPr>
            </w:pP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lastRenderedPageBreak/>
              <w:t>(四)</w:t>
            </w: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ab/>
              <w:t>結清銷戶基準日係以銀行電腦系統完成銷戶當日為準。</w:t>
            </w:r>
          </w:p>
        </w:tc>
        <w:tc>
          <w:tcPr>
            <w:tcW w:w="2714" w:type="dxa"/>
          </w:tcPr>
          <w:p w:rsidR="00BC36F2" w:rsidRPr="00850A2F" w:rsidRDefault="0058590C" w:rsidP="00D61E99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lastRenderedPageBreak/>
              <w:t>配合「銀行受理客戶以網路方式開立儲值支付帳戶作業範本」之廢止，刪除儲值支付帳戶之文字。</w:t>
            </w:r>
          </w:p>
        </w:tc>
      </w:tr>
      <w:tr w:rsidR="004224FD" w:rsidRPr="00A50697" w:rsidTr="004224FD">
        <w:trPr>
          <w:trHeight w:val="3173"/>
          <w:jc w:val="center"/>
        </w:trPr>
        <w:tc>
          <w:tcPr>
            <w:tcW w:w="3300" w:type="dxa"/>
          </w:tcPr>
          <w:p w:rsidR="004224FD" w:rsidRDefault="004224FD" w:rsidP="00CB5AC0">
            <w:pPr>
              <w:autoSpaceDE w:val="0"/>
              <w:autoSpaceDN w:val="0"/>
              <w:adjustRightInd w:val="0"/>
              <w:spacing w:line="276" w:lineRule="auto"/>
              <w:ind w:left="456" w:hangingChars="190" w:hanging="456"/>
              <w:jc w:val="both"/>
              <w:rPr>
                <w:rFonts w:ascii="標楷體" w:eastAsia="標楷體" w:hAnsi="標楷體" w:cs="NotoSansCJKjp-Regular-VKana"/>
                <w:kern w:val="0"/>
                <w:szCs w:val="24"/>
              </w:rPr>
            </w:pPr>
            <w:r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第二條</w:t>
            </w:r>
          </w:p>
          <w:p w:rsidR="004224FD" w:rsidRPr="00AF2E61" w:rsidRDefault="004224FD" w:rsidP="00CB5AC0">
            <w:pPr>
              <w:autoSpaceDE w:val="0"/>
              <w:autoSpaceDN w:val="0"/>
              <w:adjustRightInd w:val="0"/>
              <w:spacing w:line="276" w:lineRule="auto"/>
              <w:ind w:left="456" w:hangingChars="190" w:hanging="456"/>
              <w:jc w:val="both"/>
              <w:rPr>
                <w:rFonts w:ascii="標楷體" w:eastAsia="標楷體" w:hAnsi="標楷體" w:cs="NotoSansCJKjp-Regular-VKana"/>
                <w:kern w:val="0"/>
                <w:szCs w:val="24"/>
              </w:rPr>
            </w:pP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四、</w:t>
            </w:r>
            <w:r w:rsidRPr="00CB5AC0">
              <w:rPr>
                <w:rFonts w:ascii="標楷體" w:eastAsia="標楷體" w:hAnsi="標楷體" w:cs="NotoSansCJKjp-Regular-VKana" w:hint="eastAsia"/>
                <w:b/>
                <w:kern w:val="0"/>
                <w:szCs w:val="24"/>
                <w:u w:val="single"/>
              </w:rPr>
              <w:t>以網路方式開立之</w:t>
            </w: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帳戶，應依本會所訂並經主管機關備查之</w:t>
            </w:r>
            <w:r w:rsidRPr="00CB5AC0">
              <w:rPr>
                <w:rFonts w:ascii="標楷體" w:eastAsia="標楷體" w:hAnsi="標楷體" w:cs="NotoSansCJKjp-Regular-VKana" w:hint="eastAsia"/>
                <w:b/>
                <w:kern w:val="0"/>
                <w:szCs w:val="24"/>
                <w:u w:val="single"/>
              </w:rPr>
              <w:t>相關</w:t>
            </w:r>
            <w:r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作業範本</w:t>
            </w: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辦理。</w:t>
            </w:r>
          </w:p>
        </w:tc>
        <w:tc>
          <w:tcPr>
            <w:tcW w:w="3300" w:type="dxa"/>
          </w:tcPr>
          <w:p w:rsidR="004224FD" w:rsidRDefault="004224FD" w:rsidP="004224FD">
            <w:pPr>
              <w:autoSpaceDE w:val="0"/>
              <w:autoSpaceDN w:val="0"/>
              <w:adjustRightInd w:val="0"/>
              <w:spacing w:line="276" w:lineRule="auto"/>
              <w:ind w:left="461" w:hangingChars="192" w:hanging="461"/>
              <w:jc w:val="both"/>
              <w:rPr>
                <w:rFonts w:ascii="標楷體" w:eastAsia="標楷體" w:hAnsi="標楷體" w:cs="NotoSansCJKjp-Regular-VKana"/>
                <w:kern w:val="0"/>
                <w:szCs w:val="24"/>
              </w:rPr>
            </w:pPr>
            <w:r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第二條</w:t>
            </w:r>
          </w:p>
          <w:p w:rsidR="004224FD" w:rsidRPr="00AF2E61" w:rsidRDefault="004224FD" w:rsidP="004224FD">
            <w:pPr>
              <w:autoSpaceDE w:val="0"/>
              <w:autoSpaceDN w:val="0"/>
              <w:adjustRightInd w:val="0"/>
              <w:spacing w:line="276" w:lineRule="auto"/>
              <w:ind w:left="461" w:hangingChars="192" w:hanging="461"/>
              <w:jc w:val="both"/>
              <w:rPr>
                <w:rFonts w:ascii="標楷體" w:eastAsia="標楷體" w:hAnsi="標楷體" w:cs="NotoSansCJKjp-Regular-VKana"/>
                <w:kern w:val="0"/>
                <w:szCs w:val="24"/>
              </w:rPr>
            </w:pP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四、</w:t>
            </w:r>
            <w:r w:rsidRPr="00CB5AC0">
              <w:rPr>
                <w:rFonts w:ascii="標楷體" w:eastAsia="標楷體" w:hAnsi="標楷體" w:cs="NotoSansCJKjp-Regular-VKana" w:hint="eastAsia"/>
                <w:b/>
                <w:kern w:val="0"/>
                <w:szCs w:val="24"/>
                <w:u w:val="single"/>
              </w:rPr>
              <w:t>「儲值支付</w:t>
            </w: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帳戶</w:t>
            </w:r>
            <w:r w:rsidRPr="00CB5AC0">
              <w:rPr>
                <w:rFonts w:ascii="標楷體" w:eastAsia="標楷體" w:hAnsi="標楷體" w:cs="NotoSansCJKjp-Regular-VKana" w:hint="eastAsia"/>
                <w:b/>
                <w:kern w:val="0"/>
                <w:szCs w:val="24"/>
                <w:u w:val="single"/>
              </w:rPr>
              <w:t>」結清銷戶</w:t>
            </w: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，應依本會所訂並經主管機關備查</w:t>
            </w:r>
            <w:r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之</w:t>
            </w:r>
            <w:r w:rsidRPr="00CB5AC0">
              <w:rPr>
                <w:rFonts w:ascii="標楷體" w:eastAsia="標楷體" w:hAnsi="標楷體" w:cs="NotoSansCJKjp-Regular-VKana" w:hint="eastAsia"/>
                <w:b/>
                <w:kern w:val="0"/>
                <w:szCs w:val="24"/>
                <w:u w:val="single"/>
              </w:rPr>
              <w:t>「銀行受理客戶以網路方式開立儲值支付帳戶</w:t>
            </w: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作業範本</w:t>
            </w:r>
            <w:r w:rsidRPr="00CB5AC0">
              <w:rPr>
                <w:rFonts w:ascii="標楷體" w:eastAsia="標楷體" w:hAnsi="標楷體" w:cs="NotoSansCJKjp-Regular-VKana" w:hint="eastAsia"/>
                <w:b/>
                <w:kern w:val="0"/>
                <w:szCs w:val="24"/>
                <w:u w:val="single"/>
              </w:rPr>
              <w:t>」</w:t>
            </w:r>
            <w:r w:rsidRPr="00AF2E61">
              <w:rPr>
                <w:rFonts w:ascii="標楷體" w:eastAsia="標楷體" w:hAnsi="標楷體" w:cs="NotoSansCJKjp-Regular-VKana" w:hint="eastAsia"/>
                <w:kern w:val="0"/>
                <w:szCs w:val="24"/>
              </w:rPr>
              <w:t>辦理。</w:t>
            </w:r>
          </w:p>
        </w:tc>
        <w:tc>
          <w:tcPr>
            <w:tcW w:w="2714" w:type="dxa"/>
          </w:tcPr>
          <w:p w:rsidR="004224FD" w:rsidRPr="00746F81" w:rsidRDefault="004224FD" w:rsidP="00D61E99">
            <w:pPr>
              <w:widowControl/>
              <w:spacing w:line="400" w:lineRule="exact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46F81">
              <w:rPr>
                <w:rFonts w:ascii="標楷體" w:eastAsia="標楷體" w:hAnsi="標楷體" w:cs="新細明體" w:hint="eastAsia"/>
                <w:kern w:val="0"/>
                <w:szCs w:val="24"/>
              </w:rPr>
              <w:t>為保留未來新增其他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線上</w:t>
            </w:r>
            <w:r w:rsidRPr="00746F81">
              <w:rPr>
                <w:rFonts w:ascii="標楷體" w:eastAsia="標楷體" w:hAnsi="標楷體" w:cs="新細明體" w:hint="eastAsia"/>
                <w:kern w:val="0"/>
                <w:szCs w:val="24"/>
              </w:rPr>
              <w:t>業務之彈性，及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相關</w:t>
            </w:r>
            <w:r w:rsidRPr="00746F81">
              <w:rPr>
                <w:rFonts w:ascii="標楷體" w:eastAsia="標楷體" w:hAnsi="標楷體" w:cs="新細明體" w:hint="eastAsia"/>
                <w:kern w:val="0"/>
                <w:szCs w:val="24"/>
              </w:rPr>
              <w:t>作業範本變更名稱之可能，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故</w:t>
            </w:r>
            <w:r w:rsidRPr="00746F81">
              <w:rPr>
                <w:rFonts w:ascii="標楷體" w:eastAsia="標楷體" w:hAnsi="標楷體" w:cs="新細明體" w:hint="eastAsia"/>
                <w:kern w:val="0"/>
                <w:szCs w:val="24"/>
              </w:rPr>
              <w:t>不特別註明作業範本名稱，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以經</w:t>
            </w:r>
            <w:r w:rsidRPr="00746F81">
              <w:rPr>
                <w:rFonts w:ascii="標楷體" w:eastAsia="標楷體" w:hAnsi="標楷體" w:cs="新細明體" w:hint="eastAsia"/>
                <w:kern w:val="0"/>
                <w:szCs w:val="24"/>
              </w:rPr>
              <w:t>主管機關備查之相關範本辦理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，如「銀行受理客戶以網路方式開立</w:t>
            </w:r>
            <w:r w:rsidRPr="00746F81">
              <w:rPr>
                <w:rFonts w:ascii="標楷體" w:eastAsia="標楷體" w:hAnsi="標楷體" w:cs="新細明體" w:hint="eastAsia"/>
                <w:kern w:val="0"/>
                <w:szCs w:val="24"/>
              </w:rPr>
              <w:t>數位存款帳戶作業範本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」</w:t>
            </w:r>
            <w:r w:rsidRPr="00746F81">
              <w:rPr>
                <w:rFonts w:ascii="標楷體" w:eastAsia="標楷體" w:hAnsi="標楷體" w:cs="新細明體" w:hint="eastAsia"/>
                <w:kern w:val="0"/>
                <w:szCs w:val="24"/>
              </w:rPr>
              <w:t>。</w:t>
            </w:r>
          </w:p>
        </w:tc>
      </w:tr>
    </w:tbl>
    <w:p w:rsidR="00986BBB" w:rsidRPr="00E11C01" w:rsidRDefault="00986BBB"/>
    <w:sectPr w:rsidR="00986BBB" w:rsidRPr="00E11C01" w:rsidSect="00AD2110">
      <w:footerReference w:type="default" r:id="rId7"/>
      <w:pgSz w:w="11906" w:h="16838" w:code="9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100" w:rsidRDefault="00404100" w:rsidP="004D598C">
      <w:r>
        <w:separator/>
      </w:r>
    </w:p>
  </w:endnote>
  <w:endnote w:type="continuationSeparator" w:id="0">
    <w:p w:rsidR="00404100" w:rsidRDefault="00404100" w:rsidP="004D5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SansCJKjp-Regular-VKana">
    <w:altName w:val="Arial Unicode MS"/>
    <w:panose1 w:val="00000000000000000000"/>
    <w:charset w:val="88"/>
    <w:family w:val="auto"/>
    <w:notTrueType/>
    <w:pitch w:val="default"/>
    <w:sig w:usb0="00000001" w:usb1="080F0000" w:usb2="00000010" w:usb3="00000000" w:csb0="001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4382"/>
      <w:docPartObj>
        <w:docPartGallery w:val="Page Numbers (Bottom of Page)"/>
        <w:docPartUnique/>
      </w:docPartObj>
    </w:sdtPr>
    <w:sdtEndPr/>
    <w:sdtContent>
      <w:p w:rsidR="00775A84" w:rsidRDefault="00633EF5">
        <w:pPr>
          <w:pStyle w:val="a8"/>
          <w:jc w:val="center"/>
        </w:pPr>
        <w:r>
          <w:fldChar w:fldCharType="begin"/>
        </w:r>
        <w:r w:rsidR="00DF139E">
          <w:instrText xml:space="preserve"> PAGE   \* MERGEFORMAT </w:instrText>
        </w:r>
        <w:r>
          <w:fldChar w:fldCharType="separate"/>
        </w:r>
        <w:r w:rsidR="00404100" w:rsidRPr="00404100">
          <w:rPr>
            <w:noProof/>
            <w:lang w:val="zh-TW"/>
          </w:rPr>
          <w:t>1</w:t>
        </w:r>
        <w:r>
          <w:rPr>
            <w:noProof/>
            <w:lang w:val="zh-TW"/>
          </w:rPr>
          <w:fldChar w:fldCharType="end"/>
        </w:r>
      </w:p>
    </w:sdtContent>
  </w:sdt>
  <w:p w:rsidR="00775A84" w:rsidRDefault="00775A8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100" w:rsidRDefault="00404100" w:rsidP="004D598C">
      <w:r>
        <w:separator/>
      </w:r>
    </w:p>
  </w:footnote>
  <w:footnote w:type="continuationSeparator" w:id="0">
    <w:p w:rsidR="00404100" w:rsidRDefault="00404100" w:rsidP="004D5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31817"/>
    <w:multiLevelType w:val="hybridMultilevel"/>
    <w:tmpl w:val="ADBC7EA8"/>
    <w:lvl w:ilvl="0" w:tplc="C870FF5A">
      <w:start w:val="1"/>
      <w:numFmt w:val="taiwaneseCountingThousand"/>
      <w:lvlText w:val="（%1）"/>
      <w:lvlJc w:val="left"/>
      <w:pPr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224401A"/>
    <w:multiLevelType w:val="hybridMultilevel"/>
    <w:tmpl w:val="BCEC6034"/>
    <w:lvl w:ilvl="0" w:tplc="49A004DE">
      <w:start w:val="6"/>
      <w:numFmt w:val="taiwaneseCountingThousand"/>
      <w:lvlText w:val="%1、"/>
      <w:lvlJc w:val="left"/>
      <w:pPr>
        <w:tabs>
          <w:tab w:val="num" w:pos="1359"/>
        </w:tabs>
        <w:ind w:left="1359" w:hanging="720"/>
      </w:pPr>
      <w:rPr>
        <w:rFonts w:hint="default"/>
        <w:u w:val="none"/>
      </w:rPr>
    </w:lvl>
    <w:lvl w:ilvl="1" w:tplc="9BDCDA66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535A5C3D"/>
    <w:multiLevelType w:val="hybridMultilevel"/>
    <w:tmpl w:val="D7F8CC6E"/>
    <w:lvl w:ilvl="0" w:tplc="686A278C">
      <w:start w:val="3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8FA5ECD"/>
    <w:multiLevelType w:val="hybridMultilevel"/>
    <w:tmpl w:val="25580ACE"/>
    <w:lvl w:ilvl="0" w:tplc="FCA00EEE">
      <w:start w:val="3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1C8EF57E">
      <w:start w:val="1"/>
      <w:numFmt w:val="taiwaneseCountingThousand"/>
      <w:lvlText w:val="（%3）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1C01"/>
    <w:rsid w:val="00011DD1"/>
    <w:rsid w:val="0002022C"/>
    <w:rsid w:val="000644ED"/>
    <w:rsid w:val="000706D4"/>
    <w:rsid w:val="000A1CE4"/>
    <w:rsid w:val="000B7693"/>
    <w:rsid w:val="000D50E5"/>
    <w:rsid w:val="000D65AC"/>
    <w:rsid w:val="00130C37"/>
    <w:rsid w:val="00131D6B"/>
    <w:rsid w:val="00145DB6"/>
    <w:rsid w:val="00147CCA"/>
    <w:rsid w:val="001B0AE0"/>
    <w:rsid w:val="001D3104"/>
    <w:rsid w:val="001F3611"/>
    <w:rsid w:val="00224D1B"/>
    <w:rsid w:val="002C050E"/>
    <w:rsid w:val="002C378F"/>
    <w:rsid w:val="002C4189"/>
    <w:rsid w:val="002C6BC5"/>
    <w:rsid w:val="002F04FE"/>
    <w:rsid w:val="00300A65"/>
    <w:rsid w:val="0032589C"/>
    <w:rsid w:val="00337EAF"/>
    <w:rsid w:val="0037319A"/>
    <w:rsid w:val="003B4DAF"/>
    <w:rsid w:val="003E5A1A"/>
    <w:rsid w:val="003F0D43"/>
    <w:rsid w:val="00404100"/>
    <w:rsid w:val="00415E8E"/>
    <w:rsid w:val="004224FD"/>
    <w:rsid w:val="00455C5C"/>
    <w:rsid w:val="0047346D"/>
    <w:rsid w:val="00485D7C"/>
    <w:rsid w:val="00490C32"/>
    <w:rsid w:val="004D598C"/>
    <w:rsid w:val="004F2036"/>
    <w:rsid w:val="0053220B"/>
    <w:rsid w:val="0056602A"/>
    <w:rsid w:val="0058590C"/>
    <w:rsid w:val="00586612"/>
    <w:rsid w:val="00613B8F"/>
    <w:rsid w:val="00633EF5"/>
    <w:rsid w:val="00660837"/>
    <w:rsid w:val="006B5C98"/>
    <w:rsid w:val="006D711E"/>
    <w:rsid w:val="006F1DD8"/>
    <w:rsid w:val="00715BB9"/>
    <w:rsid w:val="007250F7"/>
    <w:rsid w:val="007421F5"/>
    <w:rsid w:val="00756AB8"/>
    <w:rsid w:val="007711D8"/>
    <w:rsid w:val="00775A84"/>
    <w:rsid w:val="00776CC3"/>
    <w:rsid w:val="007805FB"/>
    <w:rsid w:val="007A5693"/>
    <w:rsid w:val="007D7DE4"/>
    <w:rsid w:val="007F2C74"/>
    <w:rsid w:val="007F551F"/>
    <w:rsid w:val="00822C52"/>
    <w:rsid w:val="0084286B"/>
    <w:rsid w:val="0085127C"/>
    <w:rsid w:val="00875EBE"/>
    <w:rsid w:val="008978D2"/>
    <w:rsid w:val="008C5E3E"/>
    <w:rsid w:val="008E48F8"/>
    <w:rsid w:val="008F3E25"/>
    <w:rsid w:val="009128F3"/>
    <w:rsid w:val="009267DF"/>
    <w:rsid w:val="00960CAB"/>
    <w:rsid w:val="00980DF7"/>
    <w:rsid w:val="00986BBB"/>
    <w:rsid w:val="009B22A8"/>
    <w:rsid w:val="009C03A0"/>
    <w:rsid w:val="009F3647"/>
    <w:rsid w:val="00A419A8"/>
    <w:rsid w:val="00A42CBD"/>
    <w:rsid w:val="00A456D9"/>
    <w:rsid w:val="00A45E7F"/>
    <w:rsid w:val="00A45F08"/>
    <w:rsid w:val="00A50F56"/>
    <w:rsid w:val="00A636A2"/>
    <w:rsid w:val="00A92ECE"/>
    <w:rsid w:val="00A9617F"/>
    <w:rsid w:val="00AD0EE6"/>
    <w:rsid w:val="00AD2110"/>
    <w:rsid w:val="00AF2E61"/>
    <w:rsid w:val="00AF700F"/>
    <w:rsid w:val="00B56FBE"/>
    <w:rsid w:val="00B6278C"/>
    <w:rsid w:val="00B83829"/>
    <w:rsid w:val="00BB3D5C"/>
    <w:rsid w:val="00BC36F2"/>
    <w:rsid w:val="00BD73FE"/>
    <w:rsid w:val="00BF55E1"/>
    <w:rsid w:val="00C41146"/>
    <w:rsid w:val="00C54B2D"/>
    <w:rsid w:val="00C67E5F"/>
    <w:rsid w:val="00CA5CC4"/>
    <w:rsid w:val="00CB1B12"/>
    <w:rsid w:val="00CB5AC0"/>
    <w:rsid w:val="00CC1ABB"/>
    <w:rsid w:val="00D01C8F"/>
    <w:rsid w:val="00D61E99"/>
    <w:rsid w:val="00D978EE"/>
    <w:rsid w:val="00DF139E"/>
    <w:rsid w:val="00DF4F02"/>
    <w:rsid w:val="00E0094E"/>
    <w:rsid w:val="00E02175"/>
    <w:rsid w:val="00E11C01"/>
    <w:rsid w:val="00E16532"/>
    <w:rsid w:val="00E177CA"/>
    <w:rsid w:val="00E243F2"/>
    <w:rsid w:val="00E33D20"/>
    <w:rsid w:val="00E459C5"/>
    <w:rsid w:val="00EC181E"/>
    <w:rsid w:val="00EF17D1"/>
    <w:rsid w:val="00F03453"/>
    <w:rsid w:val="00F20881"/>
    <w:rsid w:val="00F744EC"/>
    <w:rsid w:val="00FB28A3"/>
    <w:rsid w:val="00FC31C0"/>
    <w:rsid w:val="00FD5B9B"/>
    <w:rsid w:val="00FD7C2A"/>
    <w:rsid w:val="00FF4DB0"/>
    <w:rsid w:val="00FF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203C7E0-E6F1-4842-9BC9-F90F5382F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C0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C01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E11C0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11C0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D59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4D598C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D59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4D598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pc2363</dc:creator>
  <cp:lastModifiedBy>温怡俐</cp:lastModifiedBy>
  <cp:revision>4</cp:revision>
  <cp:lastPrinted>2015-12-17T07:27:00Z</cp:lastPrinted>
  <dcterms:created xsi:type="dcterms:W3CDTF">2018-08-18T09:02:00Z</dcterms:created>
  <dcterms:modified xsi:type="dcterms:W3CDTF">2018-11-26T06:16:00Z</dcterms:modified>
</cp:coreProperties>
</file>