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CA3D4" w14:textId="18DB3EF9" w:rsidR="00B8163E" w:rsidRDefault="00B8163E" w:rsidP="00B8163E">
      <w:pPr>
        <w:spacing w:line="240" w:lineRule="auto"/>
        <w:jc w:val="center"/>
        <w:rPr>
          <w:rFonts w:ascii="Calibri" w:hAnsi="Calibri" w:cs="Calibri"/>
          <w:b/>
          <w:sz w:val="36"/>
          <w:lang w:bidi="en-US"/>
        </w:rPr>
      </w:pPr>
      <w:r w:rsidRPr="00B8163E">
        <w:rPr>
          <w:rFonts w:ascii="Calibri" w:hAnsi="Calibri" w:cs="Calibri"/>
          <w:b/>
          <w:sz w:val="36"/>
          <w:lang w:bidi="en-US"/>
        </w:rPr>
        <w:t>Model Guidelines for Banks' Anti-Money Laundering and Count</w:t>
      </w:r>
      <w:bookmarkStart w:id="0" w:name="_GoBack"/>
      <w:bookmarkEnd w:id="0"/>
      <w:r w:rsidRPr="00B8163E">
        <w:rPr>
          <w:rFonts w:ascii="Calibri" w:hAnsi="Calibri" w:cs="Calibri"/>
          <w:b/>
          <w:sz w:val="36"/>
          <w:lang w:bidi="en-US"/>
        </w:rPr>
        <w:t>er Terrorism Financing Policies and Procedures, and Related Regulations:</w:t>
      </w:r>
    </w:p>
    <w:p w14:paraId="25459F55" w14:textId="2FD20312" w:rsidR="00B8163E" w:rsidRPr="00B8163E" w:rsidRDefault="00B8163E" w:rsidP="00B8163E">
      <w:pPr>
        <w:spacing w:line="240" w:lineRule="auto"/>
        <w:jc w:val="center"/>
        <w:rPr>
          <w:rFonts w:ascii="Calibri" w:hAnsi="Calibri" w:cs="Calibri"/>
          <w:b/>
          <w:sz w:val="36"/>
          <w:lang w:bidi="en-US"/>
        </w:rPr>
      </w:pPr>
      <w:r w:rsidRPr="00B8163E">
        <w:rPr>
          <w:rFonts w:ascii="Calibri" w:hAnsi="Calibri" w:cs="Calibri"/>
          <w:b/>
          <w:sz w:val="36"/>
          <w:lang w:bidi="en-US"/>
        </w:rPr>
        <w:t>FAQ for the Financial Institutions</w:t>
      </w:r>
    </w:p>
    <w:p w14:paraId="3F3057E8" w14:textId="79045CC5" w:rsidR="00562764" w:rsidRPr="00474153" w:rsidRDefault="00562764" w:rsidP="00B8163E">
      <w:pPr>
        <w:spacing w:beforeLines="100" w:before="360" w:line="440" w:lineRule="exact"/>
        <w:ind w:rightChars="-27" w:right="-65" w:firstLineChars="2071" w:firstLine="4142"/>
        <w:jc w:val="center"/>
        <w:rPr>
          <w:rFonts w:ascii="Times New Roman" w:eastAsia="標楷體" w:hAnsi="Times New Roman" w:cs="Times New Roman"/>
          <w:sz w:val="20"/>
          <w:szCs w:val="20"/>
        </w:rPr>
      </w:pPr>
      <w:r w:rsidRPr="00474153">
        <w:rPr>
          <w:rFonts w:ascii="Times New Roman" w:hAnsi="Times New Roman" w:cs="Times New Roman"/>
          <w:sz w:val="20"/>
          <w:lang w:bidi="en-US"/>
        </w:rPr>
        <w:t>Acknowledged by the Financial Supervisory Commission’s Letter No. Jin-Guan-Yin-Fa-Zi No. 1100131536 dated February 8, 2021.</w:t>
      </w:r>
    </w:p>
    <w:p w14:paraId="351BD723" w14:textId="77777777" w:rsidR="00720842" w:rsidRPr="00474153" w:rsidRDefault="00720842">
      <w:pPr>
        <w:rPr>
          <w:rFonts w:ascii="Times New Roman" w:eastAsia="標楷體" w:hAnsi="Times New Roman" w:cs="Times New Roman"/>
          <w:sz w:val="28"/>
          <w:szCs w:val="28"/>
        </w:rPr>
      </w:pPr>
    </w:p>
    <w:p w14:paraId="08193176" w14:textId="77777777" w:rsidR="00826D28" w:rsidRPr="00474153" w:rsidRDefault="00844741">
      <w:pPr>
        <w:rPr>
          <w:rFonts w:ascii="Times New Roman" w:eastAsia="標楷體" w:hAnsi="Times New Roman" w:cs="Times New Roman"/>
          <w:sz w:val="28"/>
          <w:szCs w:val="28"/>
        </w:rPr>
      </w:pPr>
      <w:r w:rsidRPr="00474153">
        <w:rPr>
          <w:rFonts w:ascii="Times New Roman" w:hAnsi="Times New Roman" w:cs="Times New Roman"/>
          <w:sz w:val="28"/>
          <w:lang w:bidi="en-US"/>
        </w:rPr>
        <w:t>1. Terminology</w:t>
      </w:r>
    </w:p>
    <w:tbl>
      <w:tblPr>
        <w:tblStyle w:val="a3"/>
        <w:tblW w:w="21692" w:type="dxa"/>
        <w:tblLayout w:type="fixed"/>
        <w:tblLook w:val="04A0" w:firstRow="1" w:lastRow="0" w:firstColumn="1" w:lastColumn="0" w:noHBand="0" w:noVBand="1"/>
      </w:tblPr>
      <w:tblGrid>
        <w:gridCol w:w="516"/>
        <w:gridCol w:w="8315"/>
        <w:gridCol w:w="8316"/>
        <w:gridCol w:w="4545"/>
      </w:tblGrid>
      <w:tr w:rsidR="00D45984" w:rsidRPr="00474153" w14:paraId="6AB04CA8" w14:textId="77777777" w:rsidTr="00E87A95">
        <w:trPr>
          <w:tblHeader/>
        </w:trPr>
        <w:tc>
          <w:tcPr>
            <w:tcW w:w="516" w:type="dxa"/>
            <w:shd w:val="clear" w:color="auto" w:fill="auto"/>
          </w:tcPr>
          <w:p w14:paraId="79EC486D" w14:textId="77777777" w:rsidR="00D45984" w:rsidRPr="00474153" w:rsidRDefault="00D45984">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w:t>
            </w:r>
          </w:p>
        </w:tc>
        <w:tc>
          <w:tcPr>
            <w:tcW w:w="8315" w:type="dxa"/>
            <w:shd w:val="clear" w:color="auto" w:fill="auto"/>
          </w:tcPr>
          <w:p w14:paraId="78A367B1" w14:textId="77777777" w:rsidR="00D45984" w:rsidRPr="00474153" w:rsidRDefault="00D45984">
            <w:pPr>
              <w:ind w:rightChars="-27" w:right="-65"/>
              <w:jc w:val="center"/>
              <w:rPr>
                <w:rFonts w:ascii="Times New Roman" w:eastAsia="標楷體" w:hAnsi="Times New Roman" w:cs="Times New Roman"/>
                <w:sz w:val="28"/>
                <w:szCs w:val="28"/>
              </w:rPr>
            </w:pPr>
            <w:r w:rsidRPr="00474153">
              <w:rPr>
                <w:rFonts w:ascii="Times New Roman" w:hAnsi="Times New Roman" w:cs="Times New Roman"/>
                <w:sz w:val="28"/>
                <w:lang w:bidi="en-US"/>
              </w:rPr>
              <w:t>Corrected Q&amp;A</w:t>
            </w:r>
          </w:p>
        </w:tc>
        <w:tc>
          <w:tcPr>
            <w:tcW w:w="8316" w:type="dxa"/>
            <w:shd w:val="clear" w:color="auto" w:fill="auto"/>
          </w:tcPr>
          <w:p w14:paraId="2FCDF94C" w14:textId="77777777" w:rsidR="00D45984" w:rsidRPr="00474153" w:rsidRDefault="00D45984">
            <w:pPr>
              <w:ind w:rightChars="-46" w:right="-110"/>
              <w:jc w:val="center"/>
              <w:rPr>
                <w:rFonts w:ascii="Times New Roman" w:eastAsia="標楷體" w:hAnsi="Times New Roman" w:cs="Times New Roman"/>
                <w:sz w:val="28"/>
                <w:szCs w:val="28"/>
              </w:rPr>
            </w:pPr>
            <w:r w:rsidRPr="00474153">
              <w:rPr>
                <w:rFonts w:ascii="Times New Roman" w:hAnsi="Times New Roman" w:cs="Times New Roman"/>
                <w:sz w:val="28"/>
                <w:lang w:bidi="en-US"/>
              </w:rPr>
              <w:t>Current Q&amp;A</w:t>
            </w:r>
          </w:p>
        </w:tc>
        <w:tc>
          <w:tcPr>
            <w:tcW w:w="4545" w:type="dxa"/>
            <w:shd w:val="clear" w:color="auto" w:fill="auto"/>
          </w:tcPr>
          <w:p w14:paraId="0BE1A62A" w14:textId="77777777" w:rsidR="00D45984" w:rsidRPr="00474153" w:rsidRDefault="00D45984">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Description</w:t>
            </w:r>
          </w:p>
        </w:tc>
      </w:tr>
      <w:tr w:rsidR="009E3754" w:rsidRPr="00474153" w14:paraId="369B9C02" w14:textId="77777777" w:rsidTr="00E87A95">
        <w:tc>
          <w:tcPr>
            <w:tcW w:w="516" w:type="dxa"/>
            <w:shd w:val="clear" w:color="auto" w:fill="auto"/>
          </w:tcPr>
          <w:p w14:paraId="0879BA1A" w14:textId="77777777" w:rsidR="009E3754" w:rsidRPr="00474153" w:rsidRDefault="009E3754">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w:t>
            </w:r>
          </w:p>
        </w:tc>
        <w:tc>
          <w:tcPr>
            <w:tcW w:w="8315" w:type="dxa"/>
            <w:shd w:val="clear" w:color="auto" w:fill="auto"/>
          </w:tcPr>
          <w:p w14:paraId="40E52E98" w14:textId="77777777" w:rsidR="004945C3" w:rsidRPr="00474153" w:rsidRDefault="004945C3">
            <w:pPr>
              <w:ind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Q1: What is the definition of a state-owned enterprise?</w:t>
            </w:r>
          </w:p>
          <w:p w14:paraId="33394B12" w14:textId="77777777" w:rsidR="004945C3" w:rsidRPr="00474153" w:rsidRDefault="004945C3">
            <w:pPr>
              <w:ind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A1:</w:t>
            </w:r>
          </w:p>
          <w:p w14:paraId="3801C0D0" w14:textId="4B333F4A" w:rsidR="004945C3" w:rsidRPr="00474153" w:rsidRDefault="004945C3">
            <w:pPr>
              <w:pStyle w:val="a4"/>
              <w:numPr>
                <w:ilvl w:val="0"/>
                <w:numId w:val="6"/>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For definitions of a state-owned enterprise, financial institutions may refer to Article 3 of “Statute of Privatization of Government-Owned Enterprises.”</w:t>
            </w:r>
          </w:p>
          <w:p w14:paraId="364ECC25" w14:textId="77777777" w:rsidR="009E3754" w:rsidRPr="00474153" w:rsidRDefault="000D6C41">
            <w:pPr>
              <w:pStyle w:val="a4"/>
              <w:numPr>
                <w:ilvl w:val="0"/>
                <w:numId w:val="6"/>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 xml:space="preserve">Financial institutions may refer to the list of state-owned enterprises </w:t>
            </w:r>
            <w:r w:rsidRPr="00474153">
              <w:rPr>
                <w:rFonts w:ascii="Times New Roman" w:hAnsi="Times New Roman"/>
                <w:color w:val="FF0000"/>
                <w:sz w:val="28"/>
                <w:u w:val="single"/>
                <w:lang w:bidi="en-US"/>
              </w:rPr>
              <w:t>listed</w:t>
            </w:r>
            <w:r w:rsidRPr="00474153">
              <w:rPr>
                <w:rFonts w:ascii="Times New Roman" w:hAnsi="Times New Roman"/>
                <w:sz w:val="28"/>
                <w:lang w:bidi="en-US"/>
              </w:rPr>
              <w:t xml:space="preserve"> on the National Development Council website, the list of </w:t>
            </w:r>
            <w:r w:rsidRPr="00474153">
              <w:rPr>
                <w:rFonts w:ascii="Times New Roman" w:hAnsi="Times New Roman"/>
                <w:color w:val="FF0000"/>
                <w:sz w:val="28"/>
                <w:u w:val="single"/>
                <w:lang w:bidi="en-US"/>
              </w:rPr>
              <w:t>privatization of government-owned enterprises, and</w:t>
            </w:r>
            <w:r w:rsidRPr="00474153">
              <w:rPr>
                <w:rFonts w:ascii="Times New Roman" w:hAnsi="Times New Roman"/>
                <w:sz w:val="28"/>
                <w:lang w:bidi="en-US"/>
              </w:rPr>
              <w:t xml:space="preserve"> the </w:t>
            </w:r>
            <w:r w:rsidRPr="00474153">
              <w:rPr>
                <w:rFonts w:ascii="Times New Roman" w:hAnsi="Times New Roman"/>
                <w:color w:val="FF0000"/>
                <w:sz w:val="28"/>
                <w:u w:val="single"/>
                <w:lang w:bidi="en-US"/>
              </w:rPr>
              <w:t>list</w:t>
            </w:r>
            <w:r w:rsidRPr="00474153">
              <w:rPr>
                <w:rFonts w:ascii="Times New Roman" w:hAnsi="Times New Roman"/>
                <w:sz w:val="28"/>
                <w:lang w:bidi="en-US"/>
              </w:rPr>
              <w:t xml:space="preserve"> of state-owned business units in the Financial Handbook compiled by the Central Bank. However, financial institutions should pay attention to the update of such information. Those who are not on the aforementioned lists can be recognized by referring to the definitions in Article 3 of the “Statute of Privatization of Government-Owned Enterprises.”</w:t>
            </w:r>
          </w:p>
        </w:tc>
        <w:tc>
          <w:tcPr>
            <w:tcW w:w="8316" w:type="dxa"/>
            <w:shd w:val="clear" w:color="auto" w:fill="auto"/>
          </w:tcPr>
          <w:p w14:paraId="07FA8674" w14:textId="77777777" w:rsidR="009E3754" w:rsidRPr="00474153" w:rsidRDefault="009E3754">
            <w:pPr>
              <w:ind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Q1: What is the definition of a state-owned enterprise?</w:t>
            </w:r>
          </w:p>
          <w:p w14:paraId="3104CFE8" w14:textId="77777777" w:rsidR="009E3754" w:rsidRPr="00474153" w:rsidRDefault="009E3754">
            <w:pPr>
              <w:ind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A1:</w:t>
            </w:r>
          </w:p>
          <w:p w14:paraId="20A8C0DD" w14:textId="086CA644" w:rsidR="009E3754" w:rsidRPr="00474153" w:rsidRDefault="009E3754">
            <w:pPr>
              <w:pStyle w:val="a4"/>
              <w:numPr>
                <w:ilvl w:val="0"/>
                <w:numId w:val="76"/>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For definitions of a state-owned enterprise, financial institutions may refer to Article 3 of “Statute of Privatization of Government-Owned Enterprises.”</w:t>
            </w:r>
          </w:p>
          <w:p w14:paraId="04FBA000" w14:textId="77777777" w:rsidR="009E3754" w:rsidRPr="00474153" w:rsidRDefault="009E3754">
            <w:pPr>
              <w:pStyle w:val="a4"/>
              <w:numPr>
                <w:ilvl w:val="0"/>
                <w:numId w:val="76"/>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 xml:space="preserve">Financial institutions may refer to the list of state-owned enterprises listed on the National Development Council website and the list of state-owned business </w:t>
            </w:r>
            <w:r w:rsidRPr="00474153">
              <w:rPr>
                <w:rFonts w:ascii="Times New Roman" w:hAnsi="Times New Roman"/>
                <w:color w:val="FF0000"/>
                <w:sz w:val="28"/>
                <w:u w:val="single"/>
                <w:lang w:bidi="en-US"/>
              </w:rPr>
              <w:t>units</w:t>
            </w:r>
            <w:r w:rsidRPr="00474153">
              <w:rPr>
                <w:rFonts w:ascii="Times New Roman" w:hAnsi="Times New Roman"/>
                <w:sz w:val="28"/>
                <w:lang w:bidi="en-US"/>
              </w:rPr>
              <w:t xml:space="preserve"> in the Financial Handbook compiled by the Central Bank. However, financial institutions should pay attention to the update of such information. Those who are not on the aforementioned lists can be recognized by referring to the definitions in Article 3 of the “Statute of Privatization of Government-Owned Enterprises.”</w:t>
            </w:r>
          </w:p>
          <w:p w14:paraId="4435DEF1" w14:textId="77777777" w:rsidR="009E3754" w:rsidRPr="00474153" w:rsidRDefault="008276BE">
            <w:pPr>
              <w:pStyle w:val="a4"/>
              <w:spacing w:line="400" w:lineRule="exact"/>
              <w:ind w:leftChars="0" w:left="574" w:rightChars="-27" w:right="-65"/>
              <w:rPr>
                <w:rFonts w:ascii="Times New Roman" w:eastAsia="標楷體" w:hAnsi="Times New Roman"/>
                <w:color w:val="FF0000"/>
                <w:sz w:val="28"/>
                <w:szCs w:val="28"/>
                <w:u w:val="single"/>
              </w:rPr>
            </w:pPr>
            <w:hyperlink r:id="rId8" w:history="1">
              <w:r w:rsidR="00A46D66" w:rsidRPr="00474153">
                <w:rPr>
                  <w:rStyle w:val="af3"/>
                  <w:rFonts w:ascii="Times New Roman" w:hAnsi="Times New Roman"/>
                  <w:color w:val="FF0000"/>
                  <w:sz w:val="28"/>
                  <w:lang w:bidi="en-US"/>
                </w:rPr>
                <w:t>https://www.ndc.gov.tw/cp.aspx?n=F76D008BCCD327E4&amp;s=855C223482EE983B</w:t>
              </w:r>
            </w:hyperlink>
          </w:p>
          <w:p w14:paraId="61B68D34" w14:textId="77777777" w:rsidR="00182F23" w:rsidRPr="00474153" w:rsidRDefault="004945C3">
            <w:pPr>
              <w:pStyle w:val="a4"/>
              <w:spacing w:line="400" w:lineRule="exact"/>
              <w:ind w:leftChars="0" w:left="574" w:rightChars="-27" w:right="-65"/>
              <w:rPr>
                <w:rFonts w:ascii="Times New Roman" w:eastAsia="標楷體" w:hAnsi="Times New Roman"/>
                <w:sz w:val="28"/>
                <w:szCs w:val="28"/>
                <w:u w:val="single"/>
              </w:rPr>
            </w:pPr>
            <w:r w:rsidRPr="00474153">
              <w:rPr>
                <w:rFonts w:ascii="Times New Roman" w:hAnsi="Times New Roman"/>
                <w:color w:val="FF0000"/>
                <w:sz w:val="28"/>
                <w:u w:val="single"/>
                <w:lang w:bidi="en-US"/>
              </w:rPr>
              <w:t>http://www.cbc.gov.tw/ct.asp?xItem=24669&amp;ctNode=894&amp;mp=1</w:t>
            </w:r>
          </w:p>
        </w:tc>
        <w:tc>
          <w:tcPr>
            <w:tcW w:w="4545" w:type="dxa"/>
            <w:shd w:val="clear" w:color="auto" w:fill="auto"/>
          </w:tcPr>
          <w:p w14:paraId="3353F2EF" w14:textId="77777777" w:rsidR="009E3754" w:rsidRPr="00474153" w:rsidRDefault="00627218">
            <w:pPr>
              <w:jc w:val="both"/>
              <w:rPr>
                <w:rFonts w:ascii="Times New Roman" w:eastAsia="標楷體" w:hAnsi="Times New Roman" w:cs="Times New Roman"/>
                <w:sz w:val="28"/>
                <w:szCs w:val="28"/>
              </w:rPr>
            </w:pPr>
            <w:r w:rsidRPr="00474153">
              <w:rPr>
                <w:rFonts w:ascii="Times New Roman" w:hAnsi="Times New Roman" w:cs="Times New Roman"/>
                <w:sz w:val="28"/>
                <w:lang w:bidi="en-US"/>
              </w:rPr>
              <w:t>Due to the website's frequent changes, it is recommended to refer to the name listed on the website with the original website deleted.</w:t>
            </w:r>
          </w:p>
        </w:tc>
      </w:tr>
      <w:tr w:rsidR="009E3754" w:rsidRPr="00474153" w14:paraId="229407D1" w14:textId="77777777" w:rsidTr="00E87A95">
        <w:tc>
          <w:tcPr>
            <w:tcW w:w="516" w:type="dxa"/>
            <w:shd w:val="clear" w:color="auto" w:fill="auto"/>
          </w:tcPr>
          <w:p w14:paraId="0ABCC2C2" w14:textId="77777777" w:rsidR="009E3754" w:rsidRPr="00474153" w:rsidRDefault="00AD4E78">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w:t>
            </w:r>
          </w:p>
        </w:tc>
        <w:tc>
          <w:tcPr>
            <w:tcW w:w="8315" w:type="dxa"/>
            <w:shd w:val="clear" w:color="auto" w:fill="auto"/>
          </w:tcPr>
          <w:p w14:paraId="068851A4" w14:textId="77777777" w:rsidR="009E3754" w:rsidRPr="00474153" w:rsidRDefault="009E3754">
            <w:pPr>
              <w:ind w:left="1" w:rightChars="-27" w:right="-65"/>
              <w:jc w:val="both"/>
              <w:rPr>
                <w:rFonts w:ascii="Times New Roman" w:eastAsia="標楷體" w:hAnsi="Times New Roman" w:cs="Times New Roman"/>
                <w:sz w:val="28"/>
                <w:szCs w:val="28"/>
              </w:rPr>
            </w:pPr>
          </w:p>
        </w:tc>
        <w:tc>
          <w:tcPr>
            <w:tcW w:w="8316" w:type="dxa"/>
            <w:shd w:val="clear" w:color="auto" w:fill="auto"/>
          </w:tcPr>
          <w:p w14:paraId="36B0A6CB" w14:textId="77777777" w:rsidR="009E3754" w:rsidRPr="00474153" w:rsidRDefault="009E3754">
            <w:pPr>
              <w:ind w:left="700" w:rightChars="-27" w:right="-65" w:hangingChars="250" w:hanging="700"/>
              <w:jc w:val="both"/>
              <w:rPr>
                <w:rFonts w:ascii="Times New Roman" w:eastAsia="標楷體" w:hAnsi="Times New Roman" w:cs="Times New Roman"/>
                <w:sz w:val="28"/>
                <w:szCs w:val="28"/>
              </w:rPr>
            </w:pPr>
            <w:r w:rsidRPr="00474153">
              <w:rPr>
                <w:rFonts w:ascii="Times New Roman" w:hAnsi="Times New Roman" w:cs="Times New Roman"/>
                <w:sz w:val="28"/>
                <w:lang w:bidi="en-US"/>
              </w:rPr>
              <w:t>Q2: What is the criteria for determining “potential customers” as mentioned in Article 3 of the “Model Guidelines Governing Anti-Money Laundering and Combating the Financing of Terrorism by the Banking Sector” (referred to as Model Guidelines below)?</w:t>
            </w:r>
          </w:p>
          <w:p w14:paraId="31FB85A6" w14:textId="77777777" w:rsidR="009E3754" w:rsidRPr="00474153" w:rsidRDefault="009E3754">
            <w:pPr>
              <w:ind w:left="580" w:rightChars="-27" w:right="-65"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A2:</w:t>
            </w:r>
          </w:p>
          <w:p w14:paraId="19430B39" w14:textId="77777777" w:rsidR="009E3754" w:rsidRPr="00474153" w:rsidRDefault="009E3754">
            <w:pPr>
              <w:ind w:left="1"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According to Subparagraph 9, Article 3 of the “Regulations Governing Anti-Money Laundering of Financial Institutions,” financial institutions are not allowed to establish a business relationship or engage in one-time transactions with customers until the due diligence procedures are completed. As a result, “potential customer” shall refer to any customer </w:t>
            </w:r>
            <w:r w:rsidRPr="00474153">
              <w:rPr>
                <w:rFonts w:ascii="Times New Roman" w:hAnsi="Times New Roman" w:cs="Times New Roman"/>
                <w:sz w:val="28"/>
                <w:lang w:bidi="en-US"/>
              </w:rPr>
              <w:lastRenderedPageBreak/>
              <w:t>with whom the bank has yet to establish a business relationship and is currently conducting due diligence.</w:t>
            </w:r>
          </w:p>
        </w:tc>
        <w:tc>
          <w:tcPr>
            <w:tcW w:w="4545" w:type="dxa"/>
            <w:shd w:val="clear" w:color="auto" w:fill="auto"/>
          </w:tcPr>
          <w:p w14:paraId="3C123BFC" w14:textId="77777777" w:rsidR="009E3754" w:rsidRPr="00474153" w:rsidRDefault="00F6205E">
            <w:pPr>
              <w:adjustRightInd w:val="0"/>
              <w:snapToGrid w:val="0"/>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lastRenderedPageBreak/>
              <w:t>No correction is made to this question.</w:t>
            </w:r>
          </w:p>
        </w:tc>
      </w:tr>
      <w:tr w:rsidR="00851102" w:rsidRPr="00474153" w14:paraId="49E47004" w14:textId="77777777" w:rsidTr="00E87A95">
        <w:tc>
          <w:tcPr>
            <w:tcW w:w="516" w:type="dxa"/>
            <w:shd w:val="clear" w:color="auto" w:fill="auto"/>
          </w:tcPr>
          <w:p w14:paraId="23FCAB87" w14:textId="77777777" w:rsidR="00851102" w:rsidRPr="00474153" w:rsidRDefault="00AD4E78">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w:t>
            </w:r>
          </w:p>
        </w:tc>
        <w:tc>
          <w:tcPr>
            <w:tcW w:w="8315" w:type="dxa"/>
            <w:shd w:val="clear" w:color="auto" w:fill="auto"/>
          </w:tcPr>
          <w:p w14:paraId="2F4D2246" w14:textId="77777777" w:rsidR="00851102" w:rsidRPr="00474153" w:rsidRDefault="00851102">
            <w:pPr>
              <w:ind w:leftChars="3" w:left="567" w:rightChars="-27" w:right="-65" w:hangingChars="200" w:hanging="560"/>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Q3: What is the purpose of identifying customers as “NPO” in Subparagraph </w:t>
            </w:r>
            <w:r w:rsidR="009561D9" w:rsidRPr="00474153">
              <w:rPr>
                <w:rFonts w:ascii="Times New Roman" w:hAnsi="Times New Roman" w:cs="Times New Roman"/>
                <w:color w:val="FF0000"/>
                <w:sz w:val="28"/>
                <w:u w:val="single"/>
                <w:lang w:bidi="en-US"/>
              </w:rPr>
              <w:t>4</w:t>
            </w:r>
            <w:r w:rsidRPr="00474153">
              <w:rPr>
                <w:rFonts w:ascii="Times New Roman" w:hAnsi="Times New Roman" w:cs="Times New Roman"/>
                <w:sz w:val="28"/>
                <w:lang w:bidi="en-US"/>
              </w:rPr>
              <w:t xml:space="preserve">, Article </w:t>
            </w:r>
            <w:r w:rsidR="009561D9" w:rsidRPr="00474153">
              <w:rPr>
                <w:rFonts w:ascii="Times New Roman" w:hAnsi="Times New Roman" w:cs="Times New Roman"/>
                <w:color w:val="FF0000"/>
                <w:sz w:val="28"/>
                <w:u w:val="single"/>
                <w:lang w:bidi="en-US"/>
              </w:rPr>
              <w:t>3</w:t>
            </w:r>
            <w:r w:rsidRPr="00474153">
              <w:rPr>
                <w:rFonts w:ascii="Times New Roman" w:hAnsi="Times New Roman" w:cs="Times New Roman"/>
                <w:sz w:val="28"/>
                <w:lang w:bidi="en-US"/>
              </w:rPr>
              <w:t xml:space="preserve"> of the Model Guidelines? How to define “NPO” and “corporate entity”?</w:t>
            </w:r>
          </w:p>
          <w:p w14:paraId="3D28B52A" w14:textId="77777777" w:rsidR="00851102" w:rsidRPr="00474153" w:rsidRDefault="00851102">
            <w:pPr>
              <w:ind w:left="1"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A3:</w:t>
            </w:r>
          </w:p>
          <w:p w14:paraId="5DBAEF03" w14:textId="77777777" w:rsidR="00851102" w:rsidRPr="00474153" w:rsidRDefault="00851102">
            <w:pPr>
              <w:ind w:left="1"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Considering the fact that organizations such as family associations, temples and townsfolk associations engage banks in business relationships or transactions as neither corporate entities nor natural persons, a new term - “non-profit organization” (NPO) was added as a result. “NPO” and “corporate entity” are non-natural persons that are in possession of property and are eligible to establish business relationships with banks.</w:t>
            </w:r>
          </w:p>
        </w:tc>
        <w:tc>
          <w:tcPr>
            <w:tcW w:w="8316" w:type="dxa"/>
            <w:shd w:val="clear" w:color="auto" w:fill="auto"/>
          </w:tcPr>
          <w:p w14:paraId="67702F5D" w14:textId="77777777" w:rsidR="00851102" w:rsidRPr="00474153" w:rsidRDefault="00851102">
            <w:pPr>
              <w:ind w:leftChars="3" w:left="567" w:rightChars="-27" w:right="-65" w:hangingChars="200" w:hanging="560"/>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Q3: What is the purpose of identifying customers as “NPO” in Subparagraph </w:t>
            </w:r>
            <w:r w:rsidRPr="00474153">
              <w:rPr>
                <w:rFonts w:ascii="Times New Roman" w:hAnsi="Times New Roman" w:cs="Times New Roman"/>
                <w:color w:val="FF0000"/>
                <w:sz w:val="28"/>
                <w:u w:val="single"/>
                <w:lang w:bidi="en-US"/>
              </w:rPr>
              <w:t>7</w:t>
            </w:r>
            <w:r w:rsidRPr="00474153">
              <w:rPr>
                <w:rFonts w:ascii="Times New Roman" w:hAnsi="Times New Roman" w:cs="Times New Roman"/>
                <w:sz w:val="28"/>
                <w:lang w:bidi="en-US"/>
              </w:rPr>
              <w:t xml:space="preserve">, Article </w:t>
            </w:r>
            <w:r w:rsidRPr="00474153">
              <w:rPr>
                <w:rFonts w:ascii="Times New Roman" w:hAnsi="Times New Roman" w:cs="Times New Roman"/>
                <w:color w:val="FF0000"/>
                <w:sz w:val="28"/>
                <w:u w:val="single"/>
                <w:lang w:bidi="en-US"/>
              </w:rPr>
              <w:t>4</w:t>
            </w:r>
            <w:r w:rsidRPr="00474153">
              <w:rPr>
                <w:rFonts w:ascii="Times New Roman" w:hAnsi="Times New Roman" w:cs="Times New Roman"/>
                <w:sz w:val="28"/>
                <w:lang w:bidi="en-US"/>
              </w:rPr>
              <w:t xml:space="preserve"> of the Model Guidelines? How to define “NPO” and “corporate entity”?</w:t>
            </w:r>
          </w:p>
          <w:p w14:paraId="55D5E47E" w14:textId="77777777" w:rsidR="00851102" w:rsidRPr="00474153" w:rsidRDefault="00851102">
            <w:pPr>
              <w:ind w:left="1"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A3:</w:t>
            </w:r>
          </w:p>
          <w:p w14:paraId="09AB8A39" w14:textId="77777777" w:rsidR="00851102" w:rsidRPr="00474153" w:rsidRDefault="00851102">
            <w:pPr>
              <w:ind w:left="1" w:rightChars="-27" w:right="-65"/>
              <w:jc w:val="both"/>
              <w:rPr>
                <w:rFonts w:ascii="Times New Roman" w:eastAsia="標楷體" w:hAnsi="Times New Roman" w:cs="Times New Roman"/>
                <w:sz w:val="28"/>
                <w:szCs w:val="28"/>
              </w:rPr>
            </w:pPr>
            <w:r w:rsidRPr="00474153">
              <w:rPr>
                <w:rFonts w:ascii="Times New Roman" w:hAnsi="Times New Roman" w:cs="Times New Roman"/>
                <w:sz w:val="28"/>
                <w:lang w:bidi="en-US"/>
              </w:rPr>
              <w:t>Considering the fact that organizations such as family associations, temples and townsfolk associations engage banks in business relationships or transactions as neither corporate entities nor natural persons, a new term - “non-profit organization” (NPO) was added as a result. “NPO” and “corporate entity” are non-natural persons that are in possession of property and are eligible to establish business relationships with banks.</w:t>
            </w:r>
          </w:p>
        </w:tc>
        <w:tc>
          <w:tcPr>
            <w:tcW w:w="4545" w:type="dxa"/>
            <w:shd w:val="clear" w:color="auto" w:fill="auto"/>
          </w:tcPr>
          <w:p w14:paraId="14E25505" w14:textId="77777777" w:rsidR="00851102" w:rsidRPr="00474153" w:rsidRDefault="00352471">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Since Subparagraph 7, Article 4 of the Model Guidelines mainly explains how to identify the beneficial owner, not the definition of a customer, Subparagraph 4, Article 3 of the Model Guidelines is cited instead.</w:t>
            </w:r>
          </w:p>
        </w:tc>
      </w:tr>
      <w:tr w:rsidR="00851102" w:rsidRPr="00474153" w14:paraId="2A6680FE" w14:textId="77777777" w:rsidTr="00E87A95">
        <w:tc>
          <w:tcPr>
            <w:tcW w:w="516" w:type="dxa"/>
            <w:shd w:val="clear" w:color="auto" w:fill="auto"/>
          </w:tcPr>
          <w:p w14:paraId="5BAA2311" w14:textId="77777777" w:rsidR="00851102" w:rsidRPr="00474153" w:rsidRDefault="00AD4E78">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w:t>
            </w:r>
          </w:p>
        </w:tc>
        <w:tc>
          <w:tcPr>
            <w:tcW w:w="8315" w:type="dxa"/>
            <w:shd w:val="clear" w:color="auto" w:fill="auto"/>
          </w:tcPr>
          <w:p w14:paraId="2910264F" w14:textId="77777777" w:rsidR="00851102" w:rsidRPr="00474153" w:rsidRDefault="00851102">
            <w:pPr>
              <w:ind w:rightChars="-27" w:right="-65"/>
              <w:jc w:val="both"/>
              <w:rPr>
                <w:rFonts w:ascii="Times New Roman" w:eastAsia="標楷體" w:hAnsi="Times New Roman" w:cs="Times New Roman"/>
                <w:sz w:val="28"/>
                <w:szCs w:val="28"/>
              </w:rPr>
            </w:pPr>
          </w:p>
        </w:tc>
        <w:tc>
          <w:tcPr>
            <w:tcW w:w="8316" w:type="dxa"/>
            <w:shd w:val="clear" w:color="auto" w:fill="auto"/>
          </w:tcPr>
          <w:p w14:paraId="6B9A6416" w14:textId="77777777" w:rsidR="00851102" w:rsidRPr="00474153" w:rsidRDefault="00851102">
            <w:pPr>
              <w:ind w:leftChars="3" w:left="567" w:rightChars="-27" w:right="-65" w:hangingChars="200" w:hanging="560"/>
              <w:jc w:val="both"/>
              <w:rPr>
                <w:rFonts w:ascii="Times New Roman" w:eastAsia="標楷體" w:hAnsi="Times New Roman" w:cs="Times New Roman"/>
                <w:sz w:val="28"/>
                <w:szCs w:val="28"/>
              </w:rPr>
            </w:pPr>
            <w:r w:rsidRPr="00474153">
              <w:rPr>
                <w:rFonts w:ascii="Times New Roman" w:hAnsi="Times New Roman" w:cs="Times New Roman"/>
                <w:sz w:val="28"/>
                <w:lang w:bidi="en-US"/>
              </w:rPr>
              <w:t>Q4: Item 2, Subparagraph 3, Article 4 of the Model Guidelines outlines “relationship or transaction established through agent.” What is the definition of the “agent” mentioned here? Does this include authorized signatories of a corporate entity? For example: would all people shown on the list of authorized derivative traders meet the definition of “agent” here? If a transaction request is submitted through an agent, how should financial institutions verify the existence of an agency arrangement? Does a letter of authorization serve as adequate proof?</w:t>
            </w:r>
          </w:p>
          <w:p w14:paraId="1CFE9376" w14:textId="77777777" w:rsidR="00851102" w:rsidRPr="00474153" w:rsidRDefault="00851102">
            <w:pPr>
              <w:ind w:left="641" w:rightChars="-27" w:right="-65" w:hangingChars="229" w:hanging="641"/>
              <w:jc w:val="both"/>
              <w:rPr>
                <w:rFonts w:ascii="Times New Roman" w:eastAsia="標楷體" w:hAnsi="Times New Roman" w:cs="Times New Roman"/>
                <w:sz w:val="28"/>
                <w:szCs w:val="28"/>
              </w:rPr>
            </w:pPr>
            <w:r w:rsidRPr="00474153">
              <w:rPr>
                <w:rFonts w:ascii="Times New Roman" w:hAnsi="Times New Roman" w:cs="Times New Roman"/>
                <w:sz w:val="28"/>
                <w:lang w:bidi="en-US"/>
              </w:rPr>
              <w:t>A4:</w:t>
            </w:r>
          </w:p>
          <w:p w14:paraId="6D6BC5E5" w14:textId="77777777" w:rsidR="00851102" w:rsidRPr="00474153" w:rsidRDefault="00851102">
            <w:pPr>
              <w:pStyle w:val="a4"/>
              <w:numPr>
                <w:ilvl w:val="0"/>
                <w:numId w:val="10"/>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An agent is a person who has been fully authorized to act on behalf of the authorizer, within the duration and scope specified, when the authorizer is unable to personally establish a relationship or transaction at the bank. For this reason, an authorized signatory of a corporate entity is not necessarily an “agent.” Whether or not an authorized derivative trader is considered an “agent” as outlined in Item 2, Subparagraph 3, Article 4 of the Model Guidelines shall depend on whether or not the person satisfies the above definition.</w:t>
            </w:r>
          </w:p>
          <w:p w14:paraId="5A93CC97" w14:textId="77777777" w:rsidR="00851102" w:rsidRPr="00474153" w:rsidRDefault="00851102">
            <w:pPr>
              <w:pStyle w:val="a4"/>
              <w:numPr>
                <w:ilvl w:val="0"/>
                <w:numId w:val="10"/>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 xml:space="preserve">When verifying the existence of an agency arrangement, a financial institution shall at least obtain authorization documents in writing </w:t>
            </w:r>
            <w:r w:rsidRPr="00474153">
              <w:rPr>
                <w:rFonts w:ascii="Times New Roman" w:hAnsi="Times New Roman"/>
                <w:sz w:val="28"/>
                <w:lang w:bidi="en-US"/>
              </w:rPr>
              <w:lastRenderedPageBreak/>
              <w:t>and adopt additional methods of verification as deemed necessary, such as contacting customers by phone.</w:t>
            </w:r>
          </w:p>
        </w:tc>
        <w:tc>
          <w:tcPr>
            <w:tcW w:w="4545" w:type="dxa"/>
            <w:shd w:val="clear" w:color="auto" w:fill="auto"/>
          </w:tcPr>
          <w:p w14:paraId="731C93FF" w14:textId="77777777" w:rsidR="00851102" w:rsidRPr="00474153" w:rsidRDefault="009561D9">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No correction is made to this question.</w:t>
            </w:r>
          </w:p>
        </w:tc>
      </w:tr>
    </w:tbl>
    <w:p w14:paraId="396F64B8" w14:textId="77777777" w:rsidR="00167181" w:rsidRPr="00474153" w:rsidRDefault="00167181">
      <w:pPr>
        <w:rPr>
          <w:rFonts w:ascii="Times New Roman" w:eastAsia="標楷體" w:hAnsi="Times New Roman" w:cs="Times New Roman"/>
          <w:sz w:val="28"/>
          <w:szCs w:val="28"/>
        </w:rPr>
      </w:pPr>
      <w:r w:rsidRPr="00474153">
        <w:rPr>
          <w:rFonts w:ascii="Times New Roman" w:hAnsi="Times New Roman" w:cs="Times New Roman"/>
          <w:sz w:val="28"/>
          <w:lang w:bidi="en-US"/>
        </w:rPr>
        <w:br w:type="page"/>
      </w:r>
    </w:p>
    <w:p w14:paraId="0177B586" w14:textId="77777777" w:rsidR="00844741" w:rsidRPr="00474153" w:rsidRDefault="00844741">
      <w:pP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2. Internal control system</w:t>
      </w:r>
    </w:p>
    <w:p w14:paraId="687B7E83" w14:textId="77777777" w:rsidR="00844741" w:rsidRPr="00474153" w:rsidRDefault="00844741">
      <w:pPr>
        <w:rPr>
          <w:rFonts w:ascii="Times New Roman" w:eastAsia="標楷體" w:hAnsi="Times New Roman" w:cs="Times New Roman"/>
          <w:sz w:val="28"/>
          <w:szCs w:val="28"/>
        </w:rPr>
      </w:pPr>
    </w:p>
    <w:tbl>
      <w:tblPr>
        <w:tblStyle w:val="a3"/>
        <w:tblW w:w="0" w:type="auto"/>
        <w:tblLayout w:type="fixed"/>
        <w:tblLook w:val="04A0" w:firstRow="1" w:lastRow="0" w:firstColumn="1" w:lastColumn="0" w:noHBand="0" w:noVBand="1"/>
      </w:tblPr>
      <w:tblGrid>
        <w:gridCol w:w="510"/>
        <w:gridCol w:w="8335"/>
        <w:gridCol w:w="8335"/>
        <w:gridCol w:w="4536"/>
        <w:gridCol w:w="31"/>
      </w:tblGrid>
      <w:tr w:rsidR="00844741" w:rsidRPr="00474153" w14:paraId="01862180" w14:textId="77777777" w:rsidTr="00056E52">
        <w:trPr>
          <w:tblHeader/>
        </w:trPr>
        <w:tc>
          <w:tcPr>
            <w:tcW w:w="510" w:type="dxa"/>
            <w:shd w:val="clear" w:color="auto" w:fill="auto"/>
          </w:tcPr>
          <w:p w14:paraId="64B16791" w14:textId="77777777" w:rsidR="00844741" w:rsidRPr="00474153" w:rsidRDefault="00844741">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w:t>
            </w:r>
          </w:p>
        </w:tc>
        <w:tc>
          <w:tcPr>
            <w:tcW w:w="8335" w:type="dxa"/>
            <w:shd w:val="clear" w:color="auto" w:fill="auto"/>
          </w:tcPr>
          <w:p w14:paraId="04DF1446" w14:textId="77777777" w:rsidR="00844741" w:rsidRPr="00474153" w:rsidRDefault="00844741">
            <w:pPr>
              <w:ind w:rightChars="-15" w:right="-36"/>
              <w:jc w:val="center"/>
              <w:rPr>
                <w:rFonts w:ascii="Times New Roman" w:eastAsia="標楷體" w:hAnsi="Times New Roman" w:cs="Times New Roman"/>
                <w:sz w:val="28"/>
                <w:szCs w:val="28"/>
              </w:rPr>
            </w:pPr>
            <w:r w:rsidRPr="00474153">
              <w:rPr>
                <w:rFonts w:ascii="Times New Roman" w:hAnsi="Times New Roman" w:cs="Times New Roman"/>
                <w:sz w:val="28"/>
                <w:lang w:bidi="en-US"/>
              </w:rPr>
              <w:t>Corrected Q&amp;A</w:t>
            </w:r>
          </w:p>
        </w:tc>
        <w:tc>
          <w:tcPr>
            <w:tcW w:w="8335" w:type="dxa"/>
            <w:shd w:val="clear" w:color="auto" w:fill="auto"/>
          </w:tcPr>
          <w:p w14:paraId="7D1978CC" w14:textId="77777777" w:rsidR="00844741" w:rsidRPr="00474153" w:rsidRDefault="00844741">
            <w:pPr>
              <w:ind w:rightChars="-44" w:right="-106"/>
              <w:jc w:val="center"/>
              <w:rPr>
                <w:rFonts w:ascii="Times New Roman" w:eastAsia="標楷體" w:hAnsi="Times New Roman" w:cs="Times New Roman"/>
                <w:sz w:val="28"/>
                <w:szCs w:val="28"/>
              </w:rPr>
            </w:pPr>
            <w:r w:rsidRPr="00474153">
              <w:rPr>
                <w:rFonts w:ascii="Times New Roman" w:hAnsi="Times New Roman" w:cs="Times New Roman"/>
                <w:sz w:val="28"/>
                <w:lang w:bidi="en-US"/>
              </w:rPr>
              <w:t>Current Q&amp;A</w:t>
            </w:r>
          </w:p>
        </w:tc>
        <w:tc>
          <w:tcPr>
            <w:tcW w:w="4567" w:type="dxa"/>
            <w:gridSpan w:val="2"/>
            <w:shd w:val="clear" w:color="auto" w:fill="auto"/>
          </w:tcPr>
          <w:p w14:paraId="553C333A" w14:textId="77777777" w:rsidR="00844741" w:rsidRPr="00474153" w:rsidRDefault="00844741">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Description</w:t>
            </w:r>
          </w:p>
        </w:tc>
      </w:tr>
      <w:tr w:rsidR="00056E52" w:rsidRPr="00474153" w14:paraId="73683765" w14:textId="77777777" w:rsidTr="00056E52">
        <w:tc>
          <w:tcPr>
            <w:tcW w:w="510" w:type="dxa"/>
            <w:shd w:val="clear" w:color="auto" w:fill="auto"/>
          </w:tcPr>
          <w:p w14:paraId="11BFCE6B"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w:t>
            </w:r>
          </w:p>
        </w:tc>
        <w:tc>
          <w:tcPr>
            <w:tcW w:w="8335" w:type="dxa"/>
            <w:shd w:val="clear" w:color="auto" w:fill="auto"/>
          </w:tcPr>
          <w:p w14:paraId="065EAB14" w14:textId="77777777" w:rsidR="00056E52" w:rsidRPr="00474153" w:rsidRDefault="00056E52">
            <w:pPr>
              <w:snapToGrid w:val="0"/>
              <w:ind w:rightChars="-15" w:right="-36"/>
              <w:jc w:val="both"/>
              <w:rPr>
                <w:rFonts w:ascii="Times New Roman" w:eastAsia="標楷體" w:hAnsi="Times New Roman" w:cs="Times New Roman"/>
                <w:bCs/>
                <w:caps/>
                <w:sz w:val="28"/>
                <w:szCs w:val="28"/>
                <w:u w:val="single"/>
              </w:rPr>
            </w:pPr>
          </w:p>
        </w:tc>
        <w:tc>
          <w:tcPr>
            <w:tcW w:w="8335" w:type="dxa"/>
            <w:shd w:val="clear" w:color="auto" w:fill="auto"/>
          </w:tcPr>
          <w:p w14:paraId="78D5D2D3" w14:textId="77777777" w:rsidR="00056E52" w:rsidRPr="00474153" w:rsidRDefault="00056E52">
            <w:pPr>
              <w:pStyle w:val="a4"/>
              <w:snapToGrid w:val="0"/>
              <w:spacing w:line="400" w:lineRule="exact"/>
              <w:ind w:leftChars="6" w:left="571" w:rightChars="-15" w:right="-36" w:hangingChars="199" w:hanging="557"/>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Q5: What types of internal AML/CFT policies should banks implement? Which details need to be reported to the FSC?</w:t>
            </w:r>
          </w:p>
          <w:p w14:paraId="3E05E5D2" w14:textId="77777777" w:rsidR="00056E52" w:rsidRPr="00474153" w:rsidRDefault="00056E52">
            <w:pPr>
              <w:pStyle w:val="a4"/>
              <w:snapToGrid w:val="0"/>
              <w:spacing w:line="400" w:lineRule="exact"/>
              <w:ind w:leftChars="0" w:left="566" w:rightChars="-15" w:right="-36" w:hangingChars="202" w:hanging="566"/>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A5:</w:t>
            </w:r>
          </w:p>
          <w:p w14:paraId="034E8096" w14:textId="77777777" w:rsidR="00056E52" w:rsidRPr="00474153" w:rsidRDefault="00056E52">
            <w:pPr>
              <w:pStyle w:val="a4"/>
              <w:numPr>
                <w:ilvl w:val="0"/>
                <w:numId w:val="13"/>
              </w:numPr>
              <w:spacing w:line="400" w:lineRule="exact"/>
              <w:ind w:leftChars="0" w:left="574" w:rightChars="-15" w:right="-36" w:hanging="57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 xml:space="preserve">Required policies: </w:t>
            </w:r>
          </w:p>
          <w:p w14:paraId="75A79F0E" w14:textId="77777777" w:rsidR="00056E52" w:rsidRPr="00474153" w:rsidRDefault="00056E52">
            <w:pPr>
              <w:pStyle w:val="a4"/>
              <w:snapToGrid w:val="0"/>
              <w:spacing w:line="400" w:lineRule="exact"/>
              <w:ind w:leftChars="177" w:left="425" w:rightChars="-15" w:right="-36" w:firstLineChars="53" w:firstLine="148"/>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According to Article 2 of the Model Guidelines, a bank’s internal control system should include the following:</w:t>
            </w:r>
          </w:p>
          <w:p w14:paraId="3A8DCE81"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sym w:font="Wingdings" w:char="F081"/>
            </w:r>
            <w:r w:rsidRPr="00474153">
              <w:rPr>
                <w:rFonts w:ascii="Times New Roman" w:hAnsi="Times New Roman"/>
                <w:color w:val="FF0000"/>
                <w:sz w:val="28"/>
                <w:lang w:bidi="en-US"/>
              </w:rPr>
              <w:t>Policies and procedures for the identification, assessment and management of ML/TF risks, established in accordance with the “Guidelines on Money Laundering and Terrorism Financing Risk Assessment and Prevention Plans for Banks” (referred to as the Guidelines below).</w:t>
            </w:r>
          </w:p>
          <w:p w14:paraId="6D38035A"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sym w:font="Wingdings" w:char="F082"/>
            </w:r>
            <w:r w:rsidRPr="00474153">
              <w:rPr>
                <w:rFonts w:ascii="Times New Roman" w:hAnsi="Times New Roman"/>
                <w:color w:val="FF0000"/>
                <w:sz w:val="28"/>
                <w:lang w:bidi="en-US"/>
              </w:rPr>
              <w:t>AML/CFT Program established based on the Guidelines, the risk assessment results and the scope of business. Contents of the AML/CFT Program shall be established in accordance with Paragraph 3 of the same Article, and include the following policies, procedures and controls:</w:t>
            </w:r>
          </w:p>
          <w:p w14:paraId="18E58165"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Confirm the identity of the customer.</w:t>
            </w:r>
          </w:p>
          <w:p w14:paraId="37A1B02C"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Name screening on customers and related parties of a transaction.</w:t>
            </w:r>
          </w:p>
          <w:p w14:paraId="50F04F77"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Ongoing monitoring of accounts and transactions.</w:t>
            </w:r>
          </w:p>
          <w:p w14:paraId="2E256D03"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Correspondent banking.</w:t>
            </w:r>
          </w:p>
          <w:p w14:paraId="6CD3CB54"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Record-keeping.</w:t>
            </w:r>
          </w:p>
          <w:p w14:paraId="142C3B0C"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Reporting of currency transactions that reach a certain amount.</w:t>
            </w:r>
          </w:p>
          <w:p w14:paraId="7FE1F3A0"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Reporting of transactions suspected to involve money laundering or terrorism financing (“suspicious ML/TF transactions”) and reporting in accordance with Counter-Terrorism Financing Act.</w:t>
            </w:r>
          </w:p>
          <w:p w14:paraId="1A4C5124"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Appointment of an AML/CFT responsible officer.</w:t>
            </w:r>
          </w:p>
          <w:p w14:paraId="7CD18A0C"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Procedures for screening and hiring employees.</w:t>
            </w:r>
          </w:p>
          <w:p w14:paraId="0DA9E280"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Ongoing employee training program.</w:t>
            </w:r>
          </w:p>
          <w:p w14:paraId="496310F5"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 xml:space="preserve">An independent audit function for testing the effectiveness of </w:t>
            </w:r>
            <w:r w:rsidRPr="00474153">
              <w:rPr>
                <w:rFonts w:ascii="Times New Roman" w:hAnsi="Times New Roman" w:cs="Times New Roman"/>
                <w:color w:val="FF0000"/>
                <w:sz w:val="28"/>
                <w:lang w:bidi="en-US"/>
              </w:rPr>
              <w:lastRenderedPageBreak/>
              <w:t>anti-money laundering and counter terrorism financing systems</w:t>
            </w:r>
          </w:p>
          <w:p w14:paraId="788E5347" w14:textId="77777777" w:rsidR="00056E52" w:rsidRPr="00474153" w:rsidRDefault="00056E52" w:rsidP="00A56215">
            <w:pPr>
              <w:pStyle w:val="af5"/>
              <w:numPr>
                <w:ilvl w:val="0"/>
                <w:numId w:val="25"/>
              </w:numPr>
              <w:snapToGrid w:val="0"/>
              <w:spacing w:line="400" w:lineRule="exact"/>
              <w:ind w:left="1220" w:rightChars="-15" w:right="-36" w:hanging="338"/>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Other matters enacted in accordance with the Money Laundering Control Act, Terrorism Financing Prevention Act and the requirements of the Financial Supervisory Commission</w:t>
            </w:r>
          </w:p>
          <w:p w14:paraId="071DC78D"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fldChar w:fldCharType="begin"/>
            </w:r>
            <w:r w:rsidRPr="00474153">
              <w:rPr>
                <w:rFonts w:ascii="Times New Roman" w:hAnsi="Times New Roman"/>
                <w:color w:val="FF0000"/>
                <w:sz w:val="28"/>
                <w:lang w:bidi="en-US"/>
              </w:rPr>
              <w:instrText xml:space="preserve"> eq \o\ac(○,3)</w:instrText>
            </w:r>
            <w:r w:rsidRPr="00474153">
              <w:rPr>
                <w:rFonts w:ascii="Times New Roman" w:hAnsi="Times New Roman"/>
                <w:color w:val="FF0000"/>
                <w:sz w:val="28"/>
                <w:lang w:bidi="en-US"/>
              </w:rPr>
              <w:fldChar w:fldCharType="end"/>
            </w:r>
            <w:r w:rsidRPr="00474153">
              <w:rPr>
                <w:rFonts w:ascii="Times New Roman" w:hAnsi="Times New Roman"/>
                <w:color w:val="FF0000"/>
                <w:sz w:val="28"/>
                <w:lang w:bidi="en-US"/>
              </w:rPr>
              <w:t>Standard operating procedures for monitoring compliance with AML/CFT regulations and execution of the AML/CFT Program.</w:t>
            </w:r>
          </w:p>
          <w:p w14:paraId="1C7D3056"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fldChar w:fldCharType="begin"/>
            </w:r>
            <w:r w:rsidRPr="00474153">
              <w:rPr>
                <w:rFonts w:ascii="Times New Roman" w:hAnsi="Times New Roman"/>
                <w:color w:val="FF0000"/>
                <w:sz w:val="28"/>
                <w:lang w:bidi="en-US"/>
              </w:rPr>
              <w:instrText xml:space="preserve"> eq \o\ac(○,4)</w:instrText>
            </w:r>
            <w:r w:rsidRPr="00474153">
              <w:rPr>
                <w:rFonts w:ascii="Times New Roman" w:hAnsi="Times New Roman"/>
                <w:color w:val="FF0000"/>
                <w:sz w:val="28"/>
                <w:lang w:bidi="en-US"/>
              </w:rPr>
              <w:fldChar w:fldCharType="end"/>
            </w:r>
            <w:r w:rsidRPr="00474153">
              <w:rPr>
                <w:rFonts w:ascii="Times New Roman" w:hAnsi="Times New Roman"/>
                <w:color w:val="FF0000"/>
                <w:sz w:val="28"/>
                <w:lang w:bidi="en-US"/>
              </w:rPr>
              <w:t>Banks are required to establish an AML/CFT Program at the group level and implement throughout all branches (or subsidiaries) within the group. In addition to the policies, procedures and control mechanisms stated in Item 2, the following measures should also be developed in compliance with the data confidentiality requirements of Taiwan and the foreign countries where the branches (or subsidiaries) are located:</w:t>
            </w:r>
          </w:p>
          <w:p w14:paraId="09B40AFE" w14:textId="77777777" w:rsidR="00056E52" w:rsidRPr="00474153" w:rsidRDefault="00056E52" w:rsidP="00A56215">
            <w:pPr>
              <w:pStyle w:val="af5"/>
              <w:numPr>
                <w:ilvl w:val="0"/>
                <w:numId w:val="14"/>
              </w:numPr>
              <w:snapToGrid w:val="0"/>
              <w:spacing w:line="400" w:lineRule="exact"/>
              <w:ind w:left="1168" w:rightChars="-15" w:right="-36" w:hanging="286"/>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Intra-group information-sharing policies and procedures for the confirmation of customers’ identity and the management of ML/TF risks.</w:t>
            </w:r>
          </w:p>
          <w:p w14:paraId="5B166B25" w14:textId="77777777" w:rsidR="00056E52" w:rsidRPr="00474153" w:rsidRDefault="00056E52" w:rsidP="00A56215">
            <w:pPr>
              <w:pStyle w:val="af5"/>
              <w:numPr>
                <w:ilvl w:val="0"/>
                <w:numId w:val="14"/>
              </w:numPr>
              <w:snapToGrid w:val="0"/>
              <w:spacing w:line="400" w:lineRule="exact"/>
              <w:ind w:left="1168" w:rightChars="-15" w:right="-36" w:hanging="286"/>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Group-level compliance, audit and AML/CFT functions that demand foreign branches (or subsidiaries) to provide information on customers, accounts and transactions, when necessary, to facilitate AML/CFT.</w:t>
            </w:r>
          </w:p>
          <w:p w14:paraId="06193F1D" w14:textId="77777777" w:rsidR="00056E52" w:rsidRPr="00474153" w:rsidRDefault="00056E52" w:rsidP="00A56215">
            <w:pPr>
              <w:pStyle w:val="af5"/>
              <w:numPr>
                <w:ilvl w:val="0"/>
                <w:numId w:val="14"/>
              </w:numPr>
              <w:snapToGrid w:val="0"/>
              <w:spacing w:line="400" w:lineRule="exact"/>
              <w:ind w:left="1168" w:rightChars="-15" w:right="-36" w:hanging="286"/>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Security measures for the protection of exchanged information.</w:t>
            </w:r>
          </w:p>
          <w:p w14:paraId="1196F8C1" w14:textId="6550A1FE" w:rsidR="00056E52" w:rsidRPr="00474153" w:rsidRDefault="00056E52">
            <w:pPr>
              <w:pStyle w:val="a4"/>
              <w:numPr>
                <w:ilvl w:val="0"/>
                <w:numId w:val="13"/>
              </w:numPr>
              <w:spacing w:line="400" w:lineRule="exact"/>
              <w:ind w:leftChars="0" w:left="574" w:rightChars="-15" w:right="-36" w:hanging="57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Information to be reported to the FSC (other than the mandatory documents mentioned below, banks are not required to report details of internal policies they have established):</w:t>
            </w:r>
          </w:p>
          <w:p w14:paraId="67D1C6F2"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fldChar w:fldCharType="begin"/>
            </w:r>
            <w:r w:rsidRPr="00474153">
              <w:rPr>
                <w:rFonts w:ascii="Times New Roman" w:hAnsi="Times New Roman"/>
                <w:color w:val="FF0000"/>
                <w:sz w:val="28"/>
                <w:lang w:bidi="en-US"/>
              </w:rPr>
              <w:instrText xml:space="preserve"> eq \o\ac(○,1)</w:instrText>
            </w:r>
            <w:r w:rsidRPr="00474153">
              <w:rPr>
                <w:rFonts w:ascii="Times New Roman" w:hAnsi="Times New Roman"/>
                <w:color w:val="FF0000"/>
                <w:sz w:val="28"/>
                <w:lang w:bidi="en-US"/>
              </w:rPr>
              <w:fldChar w:fldCharType="end"/>
            </w:r>
            <w:r w:rsidRPr="00474153">
              <w:rPr>
                <w:rFonts w:ascii="Times New Roman" w:hAnsi="Times New Roman"/>
                <w:color w:val="FF0000"/>
                <w:sz w:val="28"/>
                <w:lang w:bidi="en-US"/>
              </w:rPr>
              <w:t>Pursuant to Article 19 of the Model Guidelines, guidelines established by banks with reference to this Model Guidelines are subject to FSC’s acknowledgment.</w:t>
            </w:r>
          </w:p>
          <w:p w14:paraId="75CA3303"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fldChar w:fldCharType="begin"/>
            </w:r>
            <w:r w:rsidRPr="00474153">
              <w:rPr>
                <w:rFonts w:ascii="Times New Roman" w:hAnsi="Times New Roman"/>
                <w:color w:val="FF0000"/>
                <w:sz w:val="28"/>
                <w:lang w:bidi="en-US"/>
              </w:rPr>
              <w:instrText xml:space="preserve"> eq \o\ac(○,2)</w:instrText>
            </w:r>
            <w:r w:rsidRPr="00474153">
              <w:rPr>
                <w:rFonts w:ascii="Times New Roman" w:hAnsi="Times New Roman"/>
                <w:color w:val="FF0000"/>
                <w:sz w:val="28"/>
                <w:lang w:bidi="en-US"/>
              </w:rPr>
              <w:fldChar w:fldCharType="end"/>
            </w:r>
            <w:r w:rsidRPr="00474153">
              <w:rPr>
                <w:rFonts w:ascii="Times New Roman" w:hAnsi="Times New Roman"/>
                <w:color w:val="FF0000"/>
                <w:sz w:val="28"/>
                <w:lang w:bidi="en-US"/>
              </w:rPr>
              <w:t>Pursuant to Article 9 of the Guidelines, policies established by banks with reference to the Guidelines are subject to FSC’s acknowledgment, along with the above.</w:t>
            </w:r>
          </w:p>
          <w:p w14:paraId="6913F904" w14:textId="77777777" w:rsidR="00056E52" w:rsidRPr="00474153" w:rsidRDefault="00056E52">
            <w:pPr>
              <w:pStyle w:val="a4"/>
              <w:snapToGrid w:val="0"/>
              <w:spacing w:line="400" w:lineRule="exact"/>
              <w:ind w:leftChars="233" w:left="853" w:rightChars="-15" w:right="-36" w:hangingChars="105" w:hanging="294"/>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fldChar w:fldCharType="begin"/>
            </w:r>
            <w:r w:rsidRPr="00474153">
              <w:rPr>
                <w:rFonts w:ascii="Times New Roman" w:hAnsi="Times New Roman"/>
                <w:color w:val="FF0000"/>
                <w:sz w:val="28"/>
                <w:lang w:bidi="en-US"/>
              </w:rPr>
              <w:instrText xml:space="preserve"> eq \o\ac(○,3)</w:instrText>
            </w:r>
            <w:r w:rsidRPr="00474153">
              <w:rPr>
                <w:rFonts w:ascii="Times New Roman" w:hAnsi="Times New Roman"/>
                <w:color w:val="FF0000"/>
                <w:sz w:val="28"/>
                <w:lang w:bidi="en-US"/>
              </w:rPr>
              <w:fldChar w:fldCharType="end"/>
            </w:r>
            <w:r w:rsidRPr="00474153">
              <w:rPr>
                <w:rFonts w:ascii="Times New Roman" w:hAnsi="Times New Roman"/>
                <w:color w:val="FF0000"/>
                <w:sz w:val="28"/>
                <w:lang w:bidi="en-US"/>
              </w:rPr>
              <w:t xml:space="preserve">Pursuant to Paragraph 2, Article 2 of the Model Guidelines and </w:t>
            </w:r>
            <w:r w:rsidRPr="00474153">
              <w:rPr>
                <w:rFonts w:ascii="Times New Roman" w:hAnsi="Times New Roman"/>
                <w:color w:val="FF0000"/>
                <w:sz w:val="28"/>
                <w:lang w:bidi="en-US"/>
              </w:rPr>
              <w:lastRenderedPageBreak/>
              <w:t>Paragraph 6, Note 8 of the Guidelines, banks are required to submit risk assessment reports to the FSC for acknowledgment as soon as they are completed or updated.</w:t>
            </w:r>
          </w:p>
        </w:tc>
        <w:tc>
          <w:tcPr>
            <w:tcW w:w="4567" w:type="dxa"/>
            <w:gridSpan w:val="2"/>
            <w:shd w:val="clear" w:color="auto" w:fill="auto"/>
          </w:tcPr>
          <w:p w14:paraId="3E450344" w14:textId="77777777" w:rsidR="00056E52" w:rsidRPr="00474153" w:rsidRDefault="00567A8E" w:rsidP="00A56215">
            <w:pPr>
              <w:pStyle w:val="a4"/>
              <w:numPr>
                <w:ilvl w:val="0"/>
                <w:numId w:val="109"/>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This question is deleted.</w:t>
            </w:r>
          </w:p>
          <w:p w14:paraId="789B285C" w14:textId="77777777" w:rsidR="00056E52" w:rsidRPr="00474153" w:rsidRDefault="00C76B80" w:rsidP="00A56215">
            <w:pPr>
              <w:pStyle w:val="a4"/>
              <w:numPr>
                <w:ilvl w:val="0"/>
                <w:numId w:val="109"/>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t xml:space="preserve">Since the </w:t>
            </w:r>
            <w:r w:rsidR="00567A8E" w:rsidRPr="00474153">
              <w:rPr>
                <w:rFonts w:ascii="Times New Roman" w:hAnsi="Times New Roman"/>
                <w:sz w:val="28"/>
                <w:lang w:bidi="en-US"/>
              </w:rPr>
              <w:sym w:font="Wingdings 2" w:char="F06C"/>
            </w:r>
            <w:r w:rsidRPr="00474153">
              <w:rPr>
                <w:rFonts w:ascii="Times New Roman" w:hAnsi="Times New Roman"/>
                <w:sz w:val="28"/>
                <w:lang w:bidi="en-US"/>
              </w:rPr>
              <w:t xml:space="preserve">content in Note (1) and Note (2) is clearly specified in Article 2 of the Model Guidelines, the clauses in the Model Guidelines, </w:t>
            </w:r>
            <w:r w:rsidR="00A17028" w:rsidRPr="00474153">
              <w:rPr>
                <w:rFonts w:ascii="Times New Roman" w:hAnsi="Times New Roman"/>
                <w:sz w:val="28"/>
                <w:lang w:bidi="en-US"/>
              </w:rPr>
              <w:sym w:font="Wingdings" w:char="F081"/>
            </w:r>
            <w:r w:rsidRPr="00474153">
              <w:rPr>
                <w:rFonts w:ascii="Times New Roman" w:hAnsi="Times New Roman"/>
                <w:sz w:val="28"/>
                <w:lang w:bidi="en-US"/>
              </w:rPr>
              <w:t xml:space="preserve"> and </w:t>
            </w:r>
            <w:r w:rsidR="00A17028" w:rsidRPr="00474153">
              <w:rPr>
                <w:rFonts w:ascii="Times New Roman" w:hAnsi="Times New Roman"/>
                <w:sz w:val="28"/>
                <w:lang w:bidi="en-US"/>
              </w:rPr>
              <w:sym w:font="Wingdings 2" w:char="F06B"/>
            </w:r>
            <w:r w:rsidRPr="00474153">
              <w:rPr>
                <w:rFonts w:ascii="Times New Roman" w:hAnsi="Times New Roman"/>
                <w:sz w:val="28"/>
                <w:lang w:bidi="en-US"/>
              </w:rPr>
              <w:t xml:space="preserve"> of Guidelines cited in Note (2) have been deleted; therefore, this question is also deleted.</w:t>
            </w:r>
          </w:p>
        </w:tc>
      </w:tr>
      <w:tr w:rsidR="00056E52" w:rsidRPr="00474153" w14:paraId="05C91573" w14:textId="77777777" w:rsidTr="00056E52">
        <w:tc>
          <w:tcPr>
            <w:tcW w:w="510" w:type="dxa"/>
            <w:shd w:val="clear" w:color="auto" w:fill="auto"/>
          </w:tcPr>
          <w:p w14:paraId="00222624"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6</w:t>
            </w:r>
          </w:p>
        </w:tc>
        <w:tc>
          <w:tcPr>
            <w:tcW w:w="8335" w:type="dxa"/>
            <w:shd w:val="clear" w:color="auto" w:fill="auto"/>
          </w:tcPr>
          <w:p w14:paraId="391DDDB7" w14:textId="77777777" w:rsidR="00A17028" w:rsidRPr="00474153" w:rsidRDefault="00A17028">
            <w:pPr>
              <w:pStyle w:val="a4"/>
              <w:snapToGrid w:val="0"/>
              <w:spacing w:line="400" w:lineRule="exact"/>
              <w:ind w:leftChars="6" w:left="571" w:rightChars="-15" w:right="-36" w:hangingChars="199" w:hanging="557"/>
              <w:jc w:val="both"/>
              <w:rPr>
                <w:rFonts w:ascii="Times New Roman" w:eastAsia="標楷體" w:hAnsi="Times New Roman"/>
                <w:bCs/>
                <w:caps/>
                <w:sz w:val="28"/>
                <w:szCs w:val="28"/>
              </w:rPr>
            </w:pPr>
            <w:r w:rsidRPr="00474153">
              <w:rPr>
                <w:rFonts w:ascii="Times New Roman" w:hAnsi="Times New Roman"/>
                <w:sz w:val="28"/>
                <w:lang w:bidi="en-US"/>
              </w:rPr>
              <w:t>Q</w:t>
            </w:r>
            <w:r w:rsidR="009561D9" w:rsidRPr="00474153">
              <w:rPr>
                <w:rFonts w:ascii="Times New Roman" w:hAnsi="Times New Roman"/>
                <w:color w:val="FF0000"/>
                <w:sz w:val="28"/>
                <w:u w:val="single"/>
                <w:lang w:bidi="en-US"/>
              </w:rPr>
              <w:t>5</w:t>
            </w:r>
            <w:r w:rsidRPr="00474153">
              <w:rPr>
                <w:rFonts w:ascii="Times New Roman" w:hAnsi="Times New Roman"/>
                <w:sz w:val="28"/>
                <w:lang w:bidi="en-US"/>
              </w:rPr>
              <w:t>: In regard to Note 8 of the Guidelines, how often should a bank establish a regular and full-scale money laundering and terrorism financing risk assessment with a risk assessment report prepared?</w:t>
            </w:r>
          </w:p>
          <w:p w14:paraId="49CF7685" w14:textId="77777777" w:rsidR="00A17028" w:rsidRPr="00474153" w:rsidRDefault="00A17028">
            <w:pPr>
              <w:snapToGrid w:val="0"/>
              <w:ind w:left="708" w:rightChars="-15" w:right="-36" w:hangingChars="253" w:hanging="70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009561D9" w:rsidRPr="00474153">
              <w:rPr>
                <w:rFonts w:ascii="Times New Roman" w:hAnsi="Times New Roman" w:cs="Times New Roman"/>
                <w:color w:val="FF0000"/>
                <w:sz w:val="28"/>
                <w:u w:val="single"/>
                <w:lang w:bidi="en-US"/>
              </w:rPr>
              <w:t>5</w:t>
            </w:r>
            <w:r w:rsidRPr="00474153">
              <w:rPr>
                <w:rFonts w:ascii="Times New Roman" w:hAnsi="Times New Roman" w:cs="Times New Roman"/>
                <w:sz w:val="28"/>
                <w:lang w:bidi="en-US"/>
              </w:rPr>
              <w:t xml:space="preserve">: </w:t>
            </w:r>
          </w:p>
          <w:p w14:paraId="3702A7A8" w14:textId="3E29CD30" w:rsidR="00056E52" w:rsidRPr="00474153" w:rsidRDefault="00A17028">
            <w:pPr>
              <w:snapToGrid w:val="0"/>
              <w:ind w:rightChars="-15" w:right="-36"/>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Banks should determine the frequency based on their risk assessment policies. However, a full-scale money laundering and terrorism risk assessment operation should be carried out at least every </w:t>
            </w:r>
            <w:r w:rsidR="00895ACF" w:rsidRPr="00474153">
              <w:rPr>
                <w:rFonts w:ascii="Times New Roman" w:hAnsi="Times New Roman" w:cs="Times New Roman"/>
                <w:color w:val="FF0000"/>
                <w:sz w:val="28"/>
                <w:u w:val="single"/>
                <w:lang w:bidi="en-US"/>
              </w:rPr>
              <w:t>two years</w:t>
            </w:r>
            <w:r w:rsidRPr="00474153">
              <w:rPr>
                <w:rFonts w:ascii="Times New Roman" w:hAnsi="Times New Roman" w:cs="Times New Roman"/>
                <w:sz w:val="28"/>
                <w:lang w:bidi="en-US"/>
              </w:rPr>
              <w:t xml:space="preserve"> with a risk assessment report prepared with reference to foreign practices. </w:t>
            </w:r>
            <w:r w:rsidR="00260DB7" w:rsidRPr="00474153">
              <w:rPr>
                <w:rFonts w:ascii="Times New Roman" w:hAnsi="Times New Roman" w:cs="Times New Roman"/>
                <w:color w:val="FF0000"/>
                <w:sz w:val="28"/>
                <w:u w:val="single"/>
                <w:lang w:bidi="en-US"/>
              </w:rPr>
              <w:t>In addition to regular assessments, banks by referring to Subparagraph 8, Note 2 of the “Full-scale Money Laundering and Terrorism Financing Risk Assessment Operation Practice for Banking Sector” should initiate an evaluation again when there is a major change occurred in the internal and external environment (such as major incidents, a major development in management and operation, or related new threats emerging).</w:t>
            </w:r>
          </w:p>
        </w:tc>
        <w:tc>
          <w:tcPr>
            <w:tcW w:w="8335" w:type="dxa"/>
            <w:shd w:val="clear" w:color="auto" w:fill="auto"/>
          </w:tcPr>
          <w:p w14:paraId="7BE69B9D" w14:textId="77777777" w:rsidR="00056E52" w:rsidRPr="00474153" w:rsidRDefault="00056E52">
            <w:pPr>
              <w:pStyle w:val="a4"/>
              <w:snapToGrid w:val="0"/>
              <w:spacing w:line="400" w:lineRule="exact"/>
              <w:ind w:leftChars="6" w:left="571" w:rightChars="-15" w:right="-36" w:hangingChars="199" w:hanging="557"/>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6</w:t>
            </w:r>
            <w:r w:rsidRPr="00474153">
              <w:rPr>
                <w:rFonts w:ascii="Times New Roman" w:hAnsi="Times New Roman"/>
                <w:sz w:val="28"/>
                <w:lang w:bidi="en-US"/>
              </w:rPr>
              <w:t>: In regard to Note 8 of the Guidelines, how often should a bank establish a regular and full-scale money laundering and terrorism financing risk assessment with a risk assessment report prepared?</w:t>
            </w:r>
          </w:p>
          <w:p w14:paraId="58ECD018" w14:textId="77777777" w:rsidR="00056E52" w:rsidRPr="00474153" w:rsidRDefault="00056E52">
            <w:pPr>
              <w:snapToGrid w:val="0"/>
              <w:ind w:left="708" w:rightChars="-15" w:right="-36" w:hangingChars="253" w:hanging="70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6</w:t>
            </w:r>
            <w:r w:rsidRPr="00474153">
              <w:rPr>
                <w:rFonts w:ascii="Times New Roman" w:hAnsi="Times New Roman" w:cs="Times New Roman"/>
                <w:sz w:val="28"/>
                <w:lang w:bidi="en-US"/>
              </w:rPr>
              <w:t>:</w:t>
            </w:r>
          </w:p>
          <w:p w14:paraId="0FF7FE84" w14:textId="77777777" w:rsidR="00056E52" w:rsidRPr="00474153" w:rsidRDefault="00056E52">
            <w:pPr>
              <w:snapToGrid w:val="0"/>
              <w:ind w:rightChars="-15" w:right="-36"/>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Banks should determine the frequency based on their risk assessment policies. However, a full-scale money laundering and terrorism risk assessment operation should be carried out at least once every </w:t>
            </w:r>
            <w:r w:rsidRPr="00474153">
              <w:rPr>
                <w:rFonts w:ascii="Times New Roman" w:hAnsi="Times New Roman" w:cs="Times New Roman"/>
                <w:color w:val="FF0000"/>
                <w:sz w:val="28"/>
                <w:u w:val="single"/>
                <w:lang w:bidi="en-US"/>
              </w:rPr>
              <w:t>12-18 months</w:t>
            </w:r>
            <w:r w:rsidRPr="00474153">
              <w:rPr>
                <w:rFonts w:ascii="Times New Roman" w:hAnsi="Times New Roman" w:cs="Times New Roman"/>
                <w:sz w:val="28"/>
                <w:lang w:bidi="en-US"/>
              </w:rPr>
              <w:t xml:space="preserve"> with a risk assessment report prepared with reference to foreign practices.</w:t>
            </w:r>
          </w:p>
        </w:tc>
        <w:tc>
          <w:tcPr>
            <w:tcW w:w="4567" w:type="dxa"/>
            <w:gridSpan w:val="2"/>
            <w:shd w:val="clear" w:color="auto" w:fill="auto"/>
          </w:tcPr>
          <w:p w14:paraId="37EBC09B" w14:textId="5DC9AF0B" w:rsidR="00056E52" w:rsidRPr="00474153" w:rsidRDefault="00515ED7" w:rsidP="00A56215">
            <w:pPr>
              <w:pStyle w:val="a4"/>
              <w:numPr>
                <w:ilvl w:val="0"/>
                <w:numId w:val="113"/>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Question number changed</w:t>
            </w:r>
          </w:p>
          <w:p w14:paraId="6A48CC0E" w14:textId="405F27F0" w:rsidR="00895ACF" w:rsidRPr="00474153" w:rsidRDefault="00895ACF" w:rsidP="00A56215">
            <w:pPr>
              <w:pStyle w:val="a4"/>
              <w:numPr>
                <w:ilvl w:val="0"/>
                <w:numId w:val="113"/>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t>Amend the frequency of preparing the risk assessment report to be consistent with that of neighboring countries by referring to the “FREQUENTLY ASKED QUESTIONS IN RELATION TO ANTI-MONEY LAUNDERING AND COUNTER-FINANCING OF TERRORISM” released by THE HONG KONG ASSOCIATION OF BANKS in July 2019 and the “GUIDELINES TO MAS626” §4-18 released by Singapore MAS in April 2015.</w:t>
            </w:r>
          </w:p>
        </w:tc>
      </w:tr>
      <w:tr w:rsidR="00056E52" w:rsidRPr="00474153" w14:paraId="1D27FE48" w14:textId="77777777" w:rsidTr="00056E52">
        <w:tc>
          <w:tcPr>
            <w:tcW w:w="510" w:type="dxa"/>
            <w:shd w:val="clear" w:color="auto" w:fill="auto"/>
          </w:tcPr>
          <w:p w14:paraId="0E488086"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7</w:t>
            </w:r>
          </w:p>
        </w:tc>
        <w:tc>
          <w:tcPr>
            <w:tcW w:w="8335" w:type="dxa"/>
            <w:shd w:val="clear" w:color="auto" w:fill="auto"/>
          </w:tcPr>
          <w:p w14:paraId="79C471AD" w14:textId="64B190DD" w:rsidR="00C30CD8" w:rsidRPr="00474153" w:rsidRDefault="00F70A6C">
            <w:pPr>
              <w:snapToGrid w:val="0"/>
              <w:ind w:leftChars="6" w:left="571" w:rightChars="-15" w:right="-36" w:hangingChars="199" w:hanging="557"/>
              <w:jc w:val="both"/>
              <w:rPr>
                <w:rFonts w:ascii="Times New Roman" w:eastAsia="標楷體" w:hAnsi="Times New Roman" w:cs="Times New Roman"/>
                <w:color w:val="FF0000"/>
                <w:sz w:val="28"/>
                <w:szCs w:val="28"/>
                <w:u w:val="single"/>
              </w:rPr>
            </w:pPr>
            <w:r w:rsidRPr="00474153">
              <w:rPr>
                <w:rFonts w:ascii="Times New Roman" w:hAnsi="Times New Roman" w:cs="Times New Roman"/>
                <w:sz w:val="28"/>
                <w:lang w:bidi="en-US"/>
              </w:rPr>
              <w:t>Q</w:t>
            </w:r>
            <w:r w:rsidR="009561D9" w:rsidRPr="00474153">
              <w:rPr>
                <w:rFonts w:ascii="Times New Roman" w:hAnsi="Times New Roman" w:cs="Times New Roman"/>
                <w:color w:val="FF0000"/>
                <w:sz w:val="28"/>
                <w:u w:val="single"/>
                <w:lang w:bidi="en-US"/>
              </w:rPr>
              <w:t>6</w:t>
            </w:r>
            <w:r w:rsidRPr="00474153">
              <w:rPr>
                <w:rFonts w:ascii="Times New Roman" w:hAnsi="Times New Roman" w:cs="Times New Roman"/>
                <w:sz w:val="28"/>
                <w:lang w:bidi="en-US"/>
              </w:rPr>
              <w:t>: The “risk assessment report”' referred to in Subparagraph 4, Paragraph 2, Article 2 of the Model Guidelines:</w:t>
            </w:r>
          </w:p>
          <w:p w14:paraId="5741F628" w14:textId="29D7581F" w:rsidR="00B431B9" w:rsidRPr="00474153" w:rsidRDefault="00B431B9" w:rsidP="00A56215">
            <w:pPr>
              <w:pStyle w:val="a4"/>
              <w:numPr>
                <w:ilvl w:val="0"/>
                <w:numId w:val="27"/>
              </w:numPr>
              <w:spacing w:line="400" w:lineRule="exact"/>
              <w:ind w:leftChars="0" w:left="566" w:rightChars="-15" w:right="-36" w:hanging="566"/>
              <w:jc w:val="both"/>
              <w:rPr>
                <w:rFonts w:ascii="Times New Roman" w:eastAsia="標楷體" w:hAnsi="Times New Roman"/>
                <w:color w:val="FF0000"/>
                <w:sz w:val="28"/>
                <w:szCs w:val="28"/>
              </w:rPr>
            </w:pPr>
            <w:r w:rsidRPr="00474153">
              <w:rPr>
                <w:rFonts w:ascii="Times New Roman" w:hAnsi="Times New Roman"/>
                <w:sz w:val="28"/>
                <w:lang w:bidi="en-US"/>
              </w:rPr>
              <w:t>Is it necessary to submit every completed report to the Financial Supervisory Commission for future reference? What is the submission deadline?</w:t>
            </w:r>
          </w:p>
          <w:p w14:paraId="188D5060" w14:textId="58722A5A" w:rsidR="00B431B9" w:rsidRPr="00474153" w:rsidRDefault="00B431B9" w:rsidP="00A56215">
            <w:pPr>
              <w:pStyle w:val="a4"/>
              <w:numPr>
                <w:ilvl w:val="0"/>
                <w:numId w:val="27"/>
              </w:numPr>
              <w:spacing w:line="400" w:lineRule="exact"/>
              <w:ind w:leftChars="0" w:left="566" w:rightChars="-15" w:right="-36" w:hanging="566"/>
              <w:jc w:val="both"/>
              <w:rPr>
                <w:rFonts w:ascii="Times New Roman" w:eastAsia="標楷體" w:hAnsi="Times New Roman"/>
                <w:color w:val="FF0000"/>
                <w:sz w:val="28"/>
                <w:szCs w:val="28"/>
              </w:rPr>
            </w:pPr>
            <w:r w:rsidRPr="00474153">
              <w:rPr>
                <w:rFonts w:ascii="Times New Roman" w:hAnsi="Times New Roman"/>
                <w:sz w:val="28"/>
                <w:lang w:bidi="en-US"/>
              </w:rPr>
              <w:t>If the risk assessment report is written in a foreign language, is it necessary to translate the report into Chinese?</w:t>
            </w:r>
          </w:p>
          <w:p w14:paraId="09C45AD5" w14:textId="77777777" w:rsidR="00A17028" w:rsidRPr="00474153" w:rsidRDefault="00F70A6C">
            <w:pPr>
              <w:ind w:rightChars="-15" w:right="-36"/>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9561D9" w:rsidRPr="00474153">
              <w:rPr>
                <w:rFonts w:ascii="Times New Roman" w:hAnsi="Times New Roman" w:cs="Times New Roman"/>
                <w:color w:val="FF0000"/>
                <w:sz w:val="28"/>
                <w:u w:val="single"/>
                <w:lang w:bidi="en-US"/>
              </w:rPr>
              <w:t>6</w:t>
            </w:r>
            <w:r w:rsidRPr="00474153">
              <w:rPr>
                <w:rFonts w:ascii="Times New Roman" w:hAnsi="Times New Roman" w:cs="Times New Roman"/>
                <w:sz w:val="28"/>
                <w:lang w:bidi="en-US"/>
              </w:rPr>
              <w:t>:</w:t>
            </w:r>
          </w:p>
          <w:p w14:paraId="4CDD4E28" w14:textId="660C5140" w:rsidR="00A91074" w:rsidRPr="00474153" w:rsidRDefault="00A91074" w:rsidP="00A56215">
            <w:pPr>
              <w:pStyle w:val="a4"/>
              <w:numPr>
                <w:ilvl w:val="0"/>
                <w:numId w:val="28"/>
              </w:numPr>
              <w:spacing w:line="400" w:lineRule="exact"/>
              <w:ind w:leftChars="0" w:left="566" w:rightChars="-15" w:right="-36" w:hanging="566"/>
              <w:jc w:val="both"/>
              <w:rPr>
                <w:rFonts w:ascii="Times New Roman" w:eastAsia="標楷體" w:hAnsi="Times New Roman"/>
                <w:bCs/>
                <w:caps/>
                <w:sz w:val="28"/>
                <w:szCs w:val="28"/>
              </w:rPr>
            </w:pPr>
            <w:r w:rsidRPr="00474153">
              <w:rPr>
                <w:rFonts w:ascii="Times New Roman" w:hAnsi="Times New Roman"/>
                <w:sz w:val="28"/>
                <w:lang w:bidi="en-US"/>
              </w:rPr>
              <w:t xml:space="preserve">According to Subparagraph 4, Paragraph 2, Article 2 of the Model Guidelines, banks shall submit the completed or updated risk assessment report to the board </w:t>
            </w:r>
            <w:r w:rsidR="00FC6CD5" w:rsidRPr="00474153">
              <w:rPr>
                <w:rFonts w:ascii="Times New Roman" w:hAnsi="Times New Roman"/>
                <w:color w:val="FF0000"/>
                <w:sz w:val="28"/>
                <w:u w:val="single"/>
                <w:lang w:bidi="en-US"/>
              </w:rPr>
              <w:t>of</w:t>
            </w:r>
            <w:r w:rsidRPr="00474153">
              <w:rPr>
                <w:rFonts w:ascii="Times New Roman" w:hAnsi="Times New Roman"/>
                <w:sz w:val="28"/>
                <w:lang w:bidi="en-US"/>
              </w:rPr>
              <w:t xml:space="preserve"> </w:t>
            </w:r>
            <w:r w:rsidR="00FC6CD5" w:rsidRPr="00474153">
              <w:rPr>
                <w:rFonts w:ascii="Times New Roman" w:hAnsi="Times New Roman"/>
                <w:color w:val="FF0000"/>
                <w:sz w:val="28"/>
                <w:u w:val="single"/>
                <w:lang w:bidi="en-US"/>
              </w:rPr>
              <w:t>directors</w:t>
            </w:r>
            <w:r w:rsidRPr="00474153">
              <w:rPr>
                <w:rFonts w:ascii="Times New Roman" w:hAnsi="Times New Roman"/>
                <w:sz w:val="28"/>
                <w:lang w:bidi="en-US"/>
              </w:rPr>
              <w:t xml:space="preserve"> for approval and then to the Financial Supervisory Commission for future reference.</w:t>
            </w:r>
          </w:p>
          <w:p w14:paraId="610C37E2" w14:textId="1D0BFF80" w:rsidR="004913C3" w:rsidRPr="00474153" w:rsidRDefault="00A17028" w:rsidP="00A56215">
            <w:pPr>
              <w:pStyle w:val="a4"/>
              <w:numPr>
                <w:ilvl w:val="0"/>
                <w:numId w:val="28"/>
              </w:numPr>
              <w:spacing w:line="400" w:lineRule="exact"/>
              <w:ind w:leftChars="0" w:left="566" w:rightChars="-15" w:right="-36" w:hanging="566"/>
              <w:jc w:val="both"/>
              <w:rPr>
                <w:rFonts w:ascii="Times New Roman" w:eastAsia="標楷體" w:hAnsi="Times New Roman"/>
                <w:sz w:val="28"/>
                <w:szCs w:val="28"/>
              </w:rPr>
            </w:pPr>
            <w:r w:rsidRPr="00474153">
              <w:rPr>
                <w:rFonts w:ascii="Times New Roman" w:hAnsi="Times New Roman"/>
                <w:sz w:val="28"/>
                <w:lang w:bidi="en-US"/>
              </w:rPr>
              <w:t xml:space="preserve">Chinese is the nation’s official language. If the risk assessment report is drafted in a foreign language, the main results of the assessment </w:t>
            </w:r>
            <w:r w:rsidRPr="00474153">
              <w:rPr>
                <w:rFonts w:ascii="Times New Roman" w:hAnsi="Times New Roman"/>
                <w:sz w:val="28"/>
                <w:lang w:bidi="en-US"/>
              </w:rPr>
              <w:lastRenderedPageBreak/>
              <w:t>must be translated into Chinese.</w:t>
            </w:r>
          </w:p>
        </w:tc>
        <w:tc>
          <w:tcPr>
            <w:tcW w:w="8335" w:type="dxa"/>
            <w:shd w:val="clear" w:color="auto" w:fill="auto"/>
          </w:tcPr>
          <w:p w14:paraId="2CC8D3C3" w14:textId="77777777" w:rsidR="00056E52" w:rsidRPr="00474153" w:rsidRDefault="00056E52">
            <w:pPr>
              <w:pStyle w:val="a4"/>
              <w:snapToGrid w:val="0"/>
              <w:spacing w:line="400" w:lineRule="exact"/>
              <w:ind w:leftChars="6" w:left="571" w:rightChars="-15" w:right="-36" w:hangingChars="199" w:hanging="557"/>
              <w:jc w:val="both"/>
              <w:rPr>
                <w:rFonts w:ascii="Times New Roman" w:eastAsia="標楷體" w:hAnsi="Times New Roman"/>
                <w:color w:val="FF0000"/>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7</w:t>
            </w:r>
            <w:r w:rsidRPr="00474153">
              <w:rPr>
                <w:rFonts w:ascii="Times New Roman" w:hAnsi="Times New Roman"/>
                <w:color w:val="FF0000"/>
                <w:sz w:val="28"/>
                <w:lang w:bidi="en-US"/>
              </w:rPr>
              <w:t>:</w:t>
            </w:r>
            <w:r w:rsidRPr="00474153">
              <w:rPr>
                <w:rFonts w:ascii="Times New Roman" w:hAnsi="Times New Roman"/>
                <w:sz w:val="28"/>
                <w:lang w:bidi="en-US"/>
              </w:rPr>
              <w:t xml:space="preserve"> The “risk assessment report”' referred to in Subparagraph 4, Paragraph 2, Article 2 of the Model Guidelines:</w:t>
            </w:r>
          </w:p>
          <w:p w14:paraId="2F70A094" w14:textId="77777777" w:rsidR="00056E52" w:rsidRPr="00474153" w:rsidRDefault="00056E52" w:rsidP="00A56215">
            <w:pPr>
              <w:pStyle w:val="a4"/>
              <w:numPr>
                <w:ilvl w:val="0"/>
                <w:numId w:val="104"/>
              </w:numPr>
              <w:spacing w:line="400" w:lineRule="exact"/>
              <w:ind w:leftChars="0" w:left="569" w:rightChars="-15" w:right="-36" w:hanging="569"/>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What is the due date for the first-time submission to FSC?</w:t>
            </w:r>
          </w:p>
          <w:p w14:paraId="0ECD2536" w14:textId="77777777" w:rsidR="00056E52" w:rsidRPr="00474153" w:rsidRDefault="00056E52" w:rsidP="00A56215">
            <w:pPr>
              <w:pStyle w:val="a4"/>
              <w:numPr>
                <w:ilvl w:val="0"/>
                <w:numId w:val="104"/>
              </w:numPr>
              <w:spacing w:line="400" w:lineRule="exact"/>
              <w:ind w:leftChars="0" w:left="569" w:rightChars="-15" w:right="-36" w:hanging="569"/>
              <w:jc w:val="both"/>
              <w:rPr>
                <w:rFonts w:ascii="Times New Roman" w:eastAsia="標楷體" w:hAnsi="Times New Roman"/>
                <w:color w:val="FF0000"/>
                <w:sz w:val="28"/>
                <w:szCs w:val="28"/>
              </w:rPr>
            </w:pPr>
            <w:r w:rsidRPr="00474153">
              <w:rPr>
                <w:rFonts w:ascii="Times New Roman" w:hAnsi="Times New Roman"/>
                <w:color w:val="FF0000"/>
                <w:sz w:val="28"/>
                <w:u w:val="single"/>
                <w:lang w:bidi="en-US"/>
              </w:rPr>
              <w:t>If the risk assessment is carried out annually,</w:t>
            </w:r>
            <w:r w:rsidRPr="00474153">
              <w:rPr>
                <w:rFonts w:ascii="Times New Roman" w:hAnsi="Times New Roman"/>
                <w:sz w:val="28"/>
                <w:lang w:bidi="en-US"/>
              </w:rPr>
              <w:t xml:space="preserve"> is it necessary to submit every completed report to the FSC </w:t>
            </w:r>
            <w:r w:rsidRPr="00474153">
              <w:rPr>
                <w:rFonts w:ascii="Times New Roman" w:hAnsi="Times New Roman"/>
                <w:color w:val="FF0000"/>
                <w:sz w:val="28"/>
                <w:u w:val="single"/>
                <w:lang w:bidi="en-US"/>
              </w:rPr>
              <w:t>for</w:t>
            </w:r>
            <w:r w:rsidRPr="00474153">
              <w:rPr>
                <w:rFonts w:ascii="Times New Roman" w:hAnsi="Times New Roman"/>
                <w:sz w:val="28"/>
                <w:lang w:bidi="en-US"/>
              </w:rPr>
              <w:t xml:space="preserve"> future reference? What is the submission deadline?</w:t>
            </w:r>
          </w:p>
          <w:p w14:paraId="6F193B1E" w14:textId="77777777" w:rsidR="00056E52" w:rsidRPr="00474153" w:rsidRDefault="00056E52" w:rsidP="00A56215">
            <w:pPr>
              <w:pStyle w:val="a4"/>
              <w:numPr>
                <w:ilvl w:val="0"/>
                <w:numId w:val="104"/>
              </w:numPr>
              <w:spacing w:line="400" w:lineRule="exact"/>
              <w:ind w:leftChars="0" w:left="569" w:rightChars="-15" w:right="-36" w:hanging="569"/>
              <w:jc w:val="both"/>
              <w:rPr>
                <w:rFonts w:ascii="Times New Roman" w:eastAsia="標楷體" w:hAnsi="Times New Roman"/>
                <w:color w:val="FF0000"/>
                <w:sz w:val="28"/>
                <w:szCs w:val="28"/>
              </w:rPr>
            </w:pPr>
            <w:r w:rsidRPr="00474153">
              <w:rPr>
                <w:rFonts w:ascii="Times New Roman" w:hAnsi="Times New Roman"/>
                <w:sz w:val="28"/>
                <w:lang w:bidi="en-US"/>
              </w:rPr>
              <w:t>If the risk assessment report is written in a foreign language, is it necessary to translate the report into Chinese?</w:t>
            </w:r>
          </w:p>
          <w:p w14:paraId="35FDD813" w14:textId="77777777" w:rsidR="00056E52" w:rsidRPr="00474153" w:rsidRDefault="00056E52">
            <w:pPr>
              <w:ind w:left="653" w:rightChars="-15" w:right="-36" w:hanging="653"/>
              <w:jc w:val="both"/>
              <w:rPr>
                <w:rFonts w:ascii="Times New Roman" w:eastAsia="標楷體" w:hAnsi="Times New Roman" w:cs="Times New Roman"/>
                <w:color w:val="FF0000"/>
                <w:sz w:val="28"/>
                <w:szCs w:val="28"/>
                <w:u w:val="single"/>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7</w:t>
            </w:r>
            <w:r w:rsidRPr="00474153">
              <w:rPr>
                <w:rFonts w:ascii="Times New Roman" w:hAnsi="Times New Roman" w:cs="Times New Roman"/>
                <w:sz w:val="28"/>
                <w:lang w:bidi="en-US"/>
              </w:rPr>
              <w:t>:</w:t>
            </w:r>
          </w:p>
          <w:p w14:paraId="66571336" w14:textId="77777777" w:rsidR="00056E52" w:rsidRPr="00474153" w:rsidRDefault="00056E52" w:rsidP="00A56215">
            <w:pPr>
              <w:pStyle w:val="a4"/>
              <w:numPr>
                <w:ilvl w:val="0"/>
                <w:numId w:val="105"/>
              </w:numPr>
              <w:spacing w:line="400" w:lineRule="exact"/>
              <w:ind w:leftChars="0" w:left="569" w:rightChars="-15" w:right="-36" w:hanging="569"/>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As mentioned in Q6, banks should conduct full-scale ML/TF risk assessments at least once every 12 ~ 18 months, therefore the due date of the first report to the FSC should not exceed 18 months from the day of the previous risk assessment.</w:t>
            </w:r>
          </w:p>
          <w:p w14:paraId="3588F54E" w14:textId="77777777" w:rsidR="00056E52" w:rsidRPr="00474153" w:rsidRDefault="00056E52" w:rsidP="00A56215">
            <w:pPr>
              <w:pStyle w:val="a4"/>
              <w:numPr>
                <w:ilvl w:val="0"/>
                <w:numId w:val="105"/>
              </w:numPr>
              <w:spacing w:line="400" w:lineRule="exact"/>
              <w:ind w:leftChars="0" w:left="569" w:rightChars="-15" w:right="-36" w:hanging="569"/>
              <w:jc w:val="both"/>
              <w:rPr>
                <w:rFonts w:ascii="Times New Roman" w:eastAsia="標楷體" w:hAnsi="Times New Roman"/>
                <w:sz w:val="28"/>
                <w:szCs w:val="28"/>
              </w:rPr>
            </w:pPr>
            <w:r w:rsidRPr="00474153">
              <w:rPr>
                <w:rFonts w:ascii="Times New Roman" w:hAnsi="Times New Roman"/>
                <w:sz w:val="28"/>
                <w:lang w:bidi="en-US"/>
              </w:rPr>
              <w:t xml:space="preserve">According to Subparagraph 4, Paragraph 2, Article 2 of the Model </w:t>
            </w:r>
            <w:r w:rsidRPr="00474153">
              <w:rPr>
                <w:rFonts w:ascii="Times New Roman" w:hAnsi="Times New Roman"/>
                <w:sz w:val="28"/>
                <w:lang w:bidi="en-US"/>
              </w:rPr>
              <w:lastRenderedPageBreak/>
              <w:t xml:space="preserve">Guidelines, banks shall submit the completed or updated risk assessment report </w:t>
            </w:r>
            <w:r w:rsidRPr="00474153">
              <w:rPr>
                <w:rFonts w:ascii="Times New Roman" w:hAnsi="Times New Roman"/>
                <w:color w:val="FF0000"/>
                <w:sz w:val="28"/>
                <w:u w:val="single"/>
                <w:lang w:bidi="en-US"/>
              </w:rPr>
              <w:t xml:space="preserve">to the Financial Supervisory Commission for future reference. </w:t>
            </w:r>
            <w:r w:rsidRPr="00474153">
              <w:rPr>
                <w:rFonts w:ascii="Times New Roman" w:hAnsi="Times New Roman"/>
                <w:sz w:val="28"/>
                <w:lang w:bidi="en-US"/>
              </w:rPr>
              <w:t xml:space="preserve">It should be submitted to the Financial Supervisory Commission for future reference as soon as possible after the approval of the </w:t>
            </w:r>
            <w:r w:rsidRPr="00474153">
              <w:rPr>
                <w:rFonts w:ascii="Times New Roman" w:hAnsi="Times New Roman"/>
                <w:color w:val="FF0000"/>
                <w:sz w:val="28"/>
                <w:u w:val="single"/>
                <w:lang w:bidi="en-US"/>
              </w:rPr>
              <w:t>bank’s</w:t>
            </w:r>
            <w:r w:rsidRPr="00474153">
              <w:rPr>
                <w:rFonts w:ascii="Times New Roman" w:hAnsi="Times New Roman"/>
                <w:sz w:val="28"/>
                <w:lang w:bidi="en-US"/>
              </w:rPr>
              <w:t xml:space="preserve"> board of directors.</w:t>
            </w:r>
          </w:p>
          <w:p w14:paraId="62378062" w14:textId="77777777" w:rsidR="00056E52" w:rsidRPr="00474153" w:rsidRDefault="00056E52" w:rsidP="00A56215">
            <w:pPr>
              <w:pStyle w:val="a4"/>
              <w:numPr>
                <w:ilvl w:val="0"/>
                <w:numId w:val="105"/>
              </w:numPr>
              <w:spacing w:line="400" w:lineRule="exact"/>
              <w:ind w:leftChars="0" w:left="569" w:rightChars="-15" w:right="-36" w:hanging="569"/>
              <w:jc w:val="both"/>
              <w:rPr>
                <w:rFonts w:ascii="Times New Roman" w:eastAsia="標楷體" w:hAnsi="Times New Roman"/>
                <w:color w:val="FF0000"/>
                <w:sz w:val="28"/>
                <w:szCs w:val="28"/>
              </w:rPr>
            </w:pPr>
            <w:r w:rsidRPr="00474153">
              <w:rPr>
                <w:rFonts w:ascii="Times New Roman" w:hAnsi="Times New Roman"/>
                <w:sz w:val="28"/>
                <w:lang w:bidi="en-US"/>
              </w:rPr>
              <w:t>Chinese is the nation’s official language. If the risk assessment report is drafted in a foreign language, the main results of the assessment must be translated into Chinese.</w:t>
            </w:r>
          </w:p>
        </w:tc>
        <w:tc>
          <w:tcPr>
            <w:tcW w:w="4567" w:type="dxa"/>
            <w:gridSpan w:val="2"/>
            <w:shd w:val="clear" w:color="auto" w:fill="auto"/>
          </w:tcPr>
          <w:p w14:paraId="064521A5" w14:textId="77777777" w:rsidR="00056E52" w:rsidRPr="00474153" w:rsidRDefault="00F70A6C" w:rsidP="00A56215">
            <w:pPr>
              <w:pStyle w:val="a4"/>
              <w:numPr>
                <w:ilvl w:val="0"/>
                <w:numId w:val="114"/>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25287BF4" w14:textId="36F365E6" w:rsidR="008276C0" w:rsidRPr="00474153" w:rsidRDefault="00C76B80" w:rsidP="00A56215">
            <w:pPr>
              <w:pStyle w:val="a4"/>
              <w:numPr>
                <w:ilvl w:val="0"/>
                <w:numId w:val="114"/>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Since the content of topic (1) is out of date, it is thereby deleted. The content of topic (2) and the answers are revised accordingly. The current question and answer topic (2) and topic (3) will be changed to topic (1) and topic (2).</w:t>
            </w:r>
          </w:p>
        </w:tc>
      </w:tr>
      <w:tr w:rsidR="00056E52" w:rsidRPr="00474153" w14:paraId="296C9435" w14:textId="77777777" w:rsidTr="00E419A6">
        <w:trPr>
          <w:gridAfter w:val="1"/>
          <w:wAfter w:w="31" w:type="dxa"/>
        </w:trPr>
        <w:tc>
          <w:tcPr>
            <w:tcW w:w="510" w:type="dxa"/>
            <w:shd w:val="clear" w:color="auto" w:fill="auto"/>
          </w:tcPr>
          <w:p w14:paraId="2252E44E"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8</w:t>
            </w:r>
          </w:p>
        </w:tc>
        <w:tc>
          <w:tcPr>
            <w:tcW w:w="8335" w:type="dxa"/>
            <w:shd w:val="clear" w:color="auto" w:fill="auto"/>
          </w:tcPr>
          <w:p w14:paraId="31CB00D7" w14:textId="439645CF" w:rsidR="00A91074" w:rsidRPr="00474153" w:rsidRDefault="00A91074" w:rsidP="00A56215">
            <w:pPr>
              <w:snapToGrid w:val="0"/>
              <w:ind w:rightChars="-15" w:right="-36"/>
              <w:jc w:val="both"/>
              <w:rPr>
                <w:rFonts w:ascii="Times New Roman" w:eastAsia="標楷體" w:hAnsi="Times New Roman" w:cs="Times New Roman"/>
                <w:sz w:val="28"/>
                <w:szCs w:val="28"/>
              </w:rPr>
            </w:pPr>
          </w:p>
        </w:tc>
        <w:tc>
          <w:tcPr>
            <w:tcW w:w="8335" w:type="dxa"/>
            <w:shd w:val="clear" w:color="auto" w:fill="auto"/>
          </w:tcPr>
          <w:p w14:paraId="53EBFD30" w14:textId="77777777" w:rsidR="00056E52" w:rsidRPr="00474153" w:rsidRDefault="00056E52">
            <w:pPr>
              <w:pStyle w:val="a4"/>
              <w:snapToGrid w:val="0"/>
              <w:spacing w:line="400" w:lineRule="exact"/>
              <w:ind w:leftChars="6" w:left="571" w:rightChars="-15" w:right="-36" w:hangingChars="199" w:hanging="557"/>
              <w:jc w:val="both"/>
              <w:rPr>
                <w:rFonts w:ascii="Times New Roman" w:eastAsia="標楷體" w:hAnsi="Times New Roman"/>
                <w:bCs/>
                <w:caps/>
                <w:color w:val="FF0000"/>
                <w:sz w:val="28"/>
                <w:szCs w:val="28"/>
                <w:u w:val="single"/>
              </w:rPr>
            </w:pPr>
            <w:r w:rsidRPr="00474153">
              <w:rPr>
                <w:rFonts w:ascii="Times New Roman" w:hAnsi="Times New Roman"/>
                <w:sz w:val="28"/>
                <w:lang w:bidi="en-US"/>
              </w:rPr>
              <w:t>Q</w:t>
            </w:r>
            <w:r w:rsidRPr="00474153">
              <w:rPr>
                <w:rFonts w:ascii="Times New Roman" w:hAnsi="Times New Roman"/>
                <w:color w:val="FF0000"/>
                <w:sz w:val="28"/>
                <w:u w:val="single"/>
                <w:lang w:bidi="en-US"/>
              </w:rPr>
              <w:t>8</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Regarding the Model Guidelines Governing Anti-Money Laundering and Combating the Financing of Terrorism by the Banking Sector to be regulated by banks and the policies formulated in accordance with the Guidelines, the banks shall:</w:t>
            </w:r>
          </w:p>
          <w:p w14:paraId="1F5D0669" w14:textId="77777777" w:rsidR="00056E52" w:rsidRPr="00474153" w:rsidRDefault="00056E52" w:rsidP="00A56215">
            <w:pPr>
              <w:pStyle w:val="a4"/>
              <w:numPr>
                <w:ilvl w:val="0"/>
                <w:numId w:val="101"/>
              </w:numPr>
              <w:spacing w:line="400" w:lineRule="exact"/>
              <w:ind w:leftChars="0" w:left="569" w:rightChars="-15" w:right="-36" w:hanging="569"/>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The Guidelines have been included as an attachment of the Model Guidelines. What is the purpose of separating the two?</w:t>
            </w:r>
          </w:p>
          <w:p w14:paraId="4ECBBA2B" w14:textId="77777777" w:rsidR="00056E52" w:rsidRPr="00474153" w:rsidRDefault="00056E52" w:rsidP="00A56215">
            <w:pPr>
              <w:pStyle w:val="a4"/>
              <w:numPr>
                <w:ilvl w:val="0"/>
                <w:numId w:val="101"/>
              </w:numPr>
              <w:spacing w:line="400" w:lineRule="exact"/>
              <w:ind w:leftChars="0" w:left="574" w:rightChars="-15" w:right="-36" w:hanging="574"/>
              <w:jc w:val="both"/>
              <w:rPr>
                <w:rFonts w:ascii="Times New Roman" w:eastAsia="標楷體" w:hAnsi="Times New Roman"/>
                <w:color w:val="FF0000"/>
                <w:sz w:val="28"/>
                <w:szCs w:val="28"/>
                <w:u w:val="single"/>
              </w:rPr>
            </w:pPr>
            <w:r w:rsidRPr="00474153">
              <w:rPr>
                <w:rFonts w:ascii="Times New Roman" w:hAnsi="Times New Roman"/>
                <w:color w:val="FF0000"/>
                <w:sz w:val="28"/>
                <w:lang w:bidi="en-US"/>
              </w:rPr>
              <w:t xml:space="preserve">The internal control system stated in Subparagraph </w:t>
            </w:r>
            <w:r w:rsidRPr="00474153">
              <w:rPr>
                <w:rFonts w:ascii="Times New Roman" w:hAnsi="Times New Roman"/>
                <w:color w:val="FF0000"/>
                <w:sz w:val="28"/>
                <w:u w:val="single"/>
                <w:lang w:bidi="en-US"/>
              </w:rPr>
              <w:t>1 to</w:t>
            </w:r>
            <w:r w:rsidRPr="00474153">
              <w:rPr>
                <w:rFonts w:ascii="Times New Roman" w:hAnsi="Times New Roman"/>
                <w:color w:val="FF0000"/>
                <w:sz w:val="28"/>
                <w:lang w:bidi="en-US"/>
              </w:rPr>
              <w:t xml:space="preserve"> 3, Paragraph 1, Article 2 of the Model Guidelines</w:t>
            </w:r>
            <w:r w:rsidRPr="00474153">
              <w:rPr>
                <w:rFonts w:ascii="Times New Roman" w:hAnsi="Times New Roman"/>
                <w:color w:val="FF0000"/>
                <w:sz w:val="28"/>
                <w:u w:val="single"/>
                <w:lang w:bidi="en-US"/>
              </w:rPr>
              <w:t xml:space="preserve"> shall include risk-related policies and procedures, AML/CFT Program, and standard operating procedures for monitoring compliance with AML/CFT regulations and execution of the AML/CFT Program, so can they be consolidated as one “program?”</w:t>
            </w:r>
          </w:p>
          <w:p w14:paraId="78B1DD28" w14:textId="77777777" w:rsidR="00056E52" w:rsidRPr="00474153" w:rsidRDefault="00056E52" w:rsidP="00A56215">
            <w:pPr>
              <w:ind w:rightChars="-15" w:right="-36"/>
              <w:jc w:val="both"/>
              <w:rPr>
                <w:rFonts w:ascii="Times New Roman" w:eastAsia="標楷體" w:hAnsi="Times New Roman" w:cs="Times New Roman"/>
                <w:color w:val="FF0000"/>
                <w:sz w:val="28"/>
                <w:szCs w:val="28"/>
                <w:u w:val="single"/>
              </w:rPr>
            </w:pPr>
            <w:r w:rsidRPr="00474153">
              <w:rPr>
                <w:rFonts w:ascii="Times New Roman" w:hAnsi="Times New Roman" w:cs="Times New Roman"/>
                <w:color w:val="FF0000"/>
                <w:sz w:val="28"/>
                <w:lang w:bidi="en-US"/>
              </w:rPr>
              <w:t>A</w:t>
            </w:r>
            <w:r w:rsidRPr="00474153">
              <w:rPr>
                <w:rFonts w:ascii="Times New Roman" w:hAnsi="Times New Roman" w:cs="Times New Roman"/>
                <w:color w:val="FF0000"/>
                <w:sz w:val="28"/>
                <w:u w:val="single"/>
                <w:lang w:bidi="en-US"/>
              </w:rPr>
              <w:t>8</w:t>
            </w:r>
            <w:r w:rsidRPr="00474153">
              <w:rPr>
                <w:rFonts w:ascii="Times New Roman" w:hAnsi="Times New Roman" w:cs="Times New Roman"/>
                <w:color w:val="FF0000"/>
                <w:sz w:val="28"/>
                <w:lang w:bidi="en-US"/>
              </w:rPr>
              <w:t>:</w:t>
            </w:r>
          </w:p>
          <w:p w14:paraId="5A7E4A0E" w14:textId="77777777" w:rsidR="00056E52" w:rsidRPr="00474153" w:rsidRDefault="00056E52">
            <w:pPr>
              <w:pStyle w:val="a4"/>
              <w:numPr>
                <w:ilvl w:val="0"/>
                <w:numId w:val="12"/>
              </w:numPr>
              <w:spacing w:line="400" w:lineRule="exact"/>
              <w:ind w:leftChars="0" w:left="574" w:rightChars="-15" w:right="-36" w:hanging="574"/>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The purpose of the Guidelines is to provide banks with references on the identification, assessment and management of ML/TF risks and development of related policies and procedures, whereas the purpose of the Model Guidelines is to provide examples on the customer acceptance procedures, ongoing monitoring procedures and risk control mechanisms that banks may establish to control ML/TF risks.</w:t>
            </w:r>
          </w:p>
          <w:p w14:paraId="39EBE51C" w14:textId="77777777" w:rsidR="00056E52" w:rsidRPr="00474153" w:rsidRDefault="00056E52">
            <w:pPr>
              <w:pStyle w:val="a4"/>
              <w:numPr>
                <w:ilvl w:val="0"/>
                <w:numId w:val="12"/>
              </w:numPr>
              <w:spacing w:line="400" w:lineRule="exact"/>
              <w:ind w:leftChars="0" w:left="574" w:rightChars="-15" w:right="-36" w:hanging="574"/>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 xml:space="preserve">Banks are required to develop AML/CFT policies and procedures to guide the identification and assessment of ML/TF risks. The “AML/CFT Program” mentioned in Subparagraph 2, Paragraph 1, Article 2 of the Model Guidelines represents internal AML/CFT system of the highest authority within a bank, which, according to </w:t>
            </w:r>
            <w:r w:rsidRPr="00474153">
              <w:rPr>
                <w:rFonts w:ascii="Times New Roman" w:hAnsi="Times New Roman"/>
                <w:color w:val="FF0000"/>
                <w:sz w:val="28"/>
                <w:u w:val="single"/>
                <w:lang w:bidi="en-US"/>
              </w:rPr>
              <w:lastRenderedPageBreak/>
              <w:t>Paragraph 3, Article 2 of the Model Guidelines, shall at least include customer acceptance procedures, ongoing monitoring procedures and risk control mechanisms that are customized for the control of ML/TF risks. Furthermore, banks are required to develop their own “AML/CFT Programs” based on the outcomes of the ML/TF risk identification/assessment and control measures to be adopted for the mitigation of identified risks. If a bank has established “AML/CFT Guidelines” in accordance with Paragraph 3, Article 2 of the Model Guidelines based on the outcomes of its own ML/TF risk identification/assessment, the “AML/CFT Guidelines” can be considered a valid equivalent to the “AML/CFT Program” mentioned in Subparagraph 2, Paragraph 1, Article 2 of the Model Guidelines.</w:t>
            </w:r>
          </w:p>
          <w:p w14:paraId="29C13DD6" w14:textId="75387DC7" w:rsidR="00056E52" w:rsidRPr="00474153" w:rsidRDefault="00056E52">
            <w:pPr>
              <w:pStyle w:val="a4"/>
              <w:numPr>
                <w:ilvl w:val="0"/>
                <w:numId w:val="12"/>
              </w:numPr>
              <w:spacing w:line="400" w:lineRule="exact"/>
              <w:ind w:leftChars="0" w:left="574" w:rightChars="-15" w:right="-36" w:hanging="574"/>
              <w:jc w:val="both"/>
              <w:rPr>
                <w:rFonts w:ascii="Times New Roman" w:eastAsia="標楷體" w:hAnsi="Times New Roman"/>
                <w:color w:val="FF0000"/>
                <w:sz w:val="28"/>
                <w:szCs w:val="28"/>
              </w:rPr>
            </w:pPr>
            <w:r w:rsidRPr="00474153">
              <w:rPr>
                <w:rFonts w:ascii="Times New Roman" w:hAnsi="Times New Roman"/>
                <w:color w:val="FF0000"/>
                <w:sz w:val="28"/>
                <w:lang w:bidi="en-US"/>
              </w:rPr>
              <w:t>The “AML/CFT Compliance Monitoring and AML/CFT Program Execution Procedures” mentioned in Subparagraph 3, Paragraph 1, Article 2 of the Model Guidelines are detailed operating procedures developed by banks for the execution of the “AML/CFT Program” and to ensure compliance with relevant laws, and therefore carry a different level of internal authority from the “AML/CFT Program.” .”</w:t>
            </w:r>
          </w:p>
        </w:tc>
        <w:tc>
          <w:tcPr>
            <w:tcW w:w="4536" w:type="dxa"/>
            <w:shd w:val="clear" w:color="auto" w:fill="auto"/>
          </w:tcPr>
          <w:p w14:paraId="47B1E6EE" w14:textId="7700E120" w:rsidR="00661DFE" w:rsidRPr="00474153" w:rsidRDefault="00661DFE" w:rsidP="00A56215">
            <w:pPr>
              <w:pStyle w:val="a4"/>
              <w:numPr>
                <w:ilvl w:val="0"/>
                <w:numId w:val="137"/>
              </w:numPr>
              <w:adjustRightInd w:val="0"/>
              <w:snapToGrid w:val="0"/>
              <w:ind w:leftChars="0"/>
              <w:jc w:val="both"/>
              <w:rPr>
                <w:rFonts w:ascii="Times New Roman" w:eastAsia="標楷體" w:hAnsi="Times New Roman"/>
                <w:bCs/>
                <w:caps/>
                <w:sz w:val="28"/>
                <w:szCs w:val="28"/>
              </w:rPr>
            </w:pPr>
            <w:r w:rsidRPr="00474153">
              <w:rPr>
                <w:rFonts w:ascii="Times New Roman" w:hAnsi="Times New Roman"/>
                <w:sz w:val="28"/>
                <w:lang w:bidi="en-US"/>
              </w:rPr>
              <w:lastRenderedPageBreak/>
              <w:t>This question is deleted.</w:t>
            </w:r>
          </w:p>
          <w:p w14:paraId="1DF97AE3" w14:textId="198DD685" w:rsidR="00EE23D4" w:rsidRPr="00474153" w:rsidRDefault="00EE23D4" w:rsidP="00A56215">
            <w:pPr>
              <w:pStyle w:val="a4"/>
              <w:numPr>
                <w:ilvl w:val="0"/>
                <w:numId w:val="137"/>
              </w:numPr>
              <w:adjustRightInd w:val="0"/>
              <w:snapToGrid w:val="0"/>
              <w:ind w:leftChars="0"/>
              <w:jc w:val="both"/>
              <w:rPr>
                <w:rFonts w:ascii="Times New Roman" w:eastAsia="標楷體" w:hAnsi="Times New Roman"/>
                <w:bCs/>
                <w:caps/>
                <w:sz w:val="28"/>
                <w:szCs w:val="28"/>
              </w:rPr>
            </w:pPr>
            <w:r w:rsidRPr="00474153">
              <w:rPr>
                <w:rFonts w:ascii="Times New Roman" w:hAnsi="Times New Roman"/>
                <w:sz w:val="28"/>
                <w:lang w:bidi="en-US"/>
              </w:rPr>
              <w:t>Since the content of topic (1) is out of date; the content of topic (2) is clearly specified in Paragraph 1, Article 2 and Paragraph 3, Article 2 of the Model Guidelines, so this question is deleted.</w:t>
            </w:r>
          </w:p>
          <w:p w14:paraId="305E36E4" w14:textId="02A6B2DE" w:rsidR="00A91074" w:rsidRPr="00474153" w:rsidRDefault="00A91074" w:rsidP="00A56215">
            <w:pPr>
              <w:pStyle w:val="a4"/>
              <w:adjustRightInd w:val="0"/>
              <w:snapToGrid w:val="0"/>
              <w:spacing w:line="400" w:lineRule="exact"/>
              <w:ind w:leftChars="0" w:left="567"/>
              <w:jc w:val="both"/>
              <w:rPr>
                <w:rFonts w:ascii="Times New Roman" w:eastAsia="標楷體" w:hAnsi="Times New Roman"/>
                <w:bCs/>
                <w:caps/>
                <w:sz w:val="28"/>
                <w:szCs w:val="28"/>
              </w:rPr>
            </w:pPr>
          </w:p>
        </w:tc>
      </w:tr>
      <w:tr w:rsidR="00056E52" w:rsidRPr="00474153" w14:paraId="3CD7C95B" w14:textId="77777777" w:rsidTr="00056E52">
        <w:tc>
          <w:tcPr>
            <w:tcW w:w="510" w:type="dxa"/>
            <w:shd w:val="clear" w:color="auto" w:fill="auto"/>
          </w:tcPr>
          <w:p w14:paraId="457E84C1"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9</w:t>
            </w:r>
          </w:p>
        </w:tc>
        <w:tc>
          <w:tcPr>
            <w:tcW w:w="8335" w:type="dxa"/>
            <w:shd w:val="clear" w:color="auto" w:fill="auto"/>
          </w:tcPr>
          <w:p w14:paraId="21B7AF3D" w14:textId="43C36193" w:rsidR="009569A1" w:rsidRPr="00474153" w:rsidRDefault="009569A1">
            <w:pPr>
              <w:pStyle w:val="a4"/>
              <w:snapToGrid w:val="0"/>
              <w:spacing w:line="400" w:lineRule="exact"/>
              <w:ind w:leftChars="6" w:left="571" w:rightChars="-15" w:right="-36" w:hangingChars="199" w:hanging="557"/>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7</w:t>
            </w:r>
            <w:r w:rsidRPr="00474153">
              <w:rPr>
                <w:rFonts w:ascii="Times New Roman" w:hAnsi="Times New Roman"/>
                <w:sz w:val="28"/>
                <w:lang w:bidi="en-US"/>
              </w:rPr>
              <w:t xml:space="preserve">: According to Paragraph 4, </w:t>
            </w:r>
            <w:r w:rsidR="00C50CFD" w:rsidRPr="00474153">
              <w:rPr>
                <w:rFonts w:ascii="Times New Roman" w:hAnsi="Times New Roman"/>
                <w:color w:val="FF0000"/>
                <w:sz w:val="28"/>
                <w:u w:val="single"/>
                <w:lang w:bidi="en-US"/>
              </w:rPr>
              <w:t>Article 6</w:t>
            </w:r>
            <w:r w:rsidRPr="00474153">
              <w:rPr>
                <w:rFonts w:ascii="Times New Roman" w:hAnsi="Times New Roman"/>
                <w:sz w:val="28"/>
                <w:lang w:bidi="en-US"/>
              </w:rPr>
              <w:t xml:space="preserve"> of the “</w:t>
            </w:r>
            <w:r w:rsidR="00C50CFD" w:rsidRPr="00474153">
              <w:rPr>
                <w:rFonts w:ascii="Times New Roman" w:hAnsi="Times New Roman"/>
                <w:color w:val="FF0000"/>
                <w:sz w:val="28"/>
                <w:u w:val="single"/>
                <w:lang w:bidi="en-US"/>
              </w:rPr>
              <w:t>Regulations Governing Internal Audit</w:t>
            </w:r>
            <w:r w:rsidRPr="00474153">
              <w:rPr>
                <w:rFonts w:ascii="Times New Roman" w:hAnsi="Times New Roman"/>
                <w:sz w:val="28"/>
                <w:lang w:bidi="en-US"/>
              </w:rPr>
              <w:t xml:space="preserve"> and Internal Control System of Anti-Money Laundering and Countering Terrorism Financing of Banking Business </w:t>
            </w:r>
            <w:r w:rsidR="00C50CFD" w:rsidRPr="00474153">
              <w:rPr>
                <w:rFonts w:ascii="Times New Roman" w:hAnsi="Times New Roman"/>
                <w:color w:val="FF0000"/>
                <w:sz w:val="28"/>
                <w:u w:val="single"/>
                <w:lang w:bidi="en-US"/>
              </w:rPr>
              <w:t>and Other Financial Institutions Designated by the Financial Supervisory Commission</w:t>
            </w:r>
            <w:r w:rsidRPr="00474153">
              <w:rPr>
                <w:rFonts w:ascii="Times New Roman" w:hAnsi="Times New Roman"/>
                <w:sz w:val="28"/>
                <w:lang w:bidi="en-US"/>
              </w:rPr>
              <w:t>” (hereinafter referred to as the “</w:t>
            </w:r>
            <w:r w:rsidR="00535321" w:rsidRPr="00474153">
              <w:rPr>
                <w:rFonts w:ascii="Times New Roman" w:hAnsi="Times New Roman"/>
                <w:color w:val="FF0000"/>
                <w:sz w:val="28"/>
                <w:u w:val="single"/>
                <w:lang w:bidi="en-US"/>
              </w:rPr>
              <w:t>Internal Audit</w:t>
            </w:r>
            <w:r w:rsidRPr="00474153">
              <w:rPr>
                <w:rFonts w:ascii="Times New Roman" w:hAnsi="Times New Roman"/>
                <w:sz w:val="28"/>
                <w:lang w:bidi="en-US"/>
              </w:rPr>
              <w:t xml:space="preserve"> and Internal Control System”) and Paragraph 4, Article 2 of the Model Guidelines, “</w:t>
            </w:r>
            <w:r w:rsidRPr="00474153">
              <w:rPr>
                <w:rFonts w:ascii="Times New Roman" w:hAnsi="Times New Roman"/>
                <w:color w:val="FF0000"/>
                <w:sz w:val="28"/>
                <w:u w:val="single"/>
                <w:lang w:bidi="en-US"/>
              </w:rPr>
              <w:t>for banks with</w:t>
            </w:r>
            <w:r w:rsidRPr="00474153">
              <w:rPr>
                <w:rFonts w:ascii="Times New Roman" w:hAnsi="Times New Roman"/>
                <w:sz w:val="28"/>
                <w:lang w:bidi="en-US"/>
              </w:rPr>
              <w:t xml:space="preserve"> branches (or subsidiaries) established, </w:t>
            </w:r>
            <w:r w:rsidRPr="00474153">
              <w:rPr>
                <w:rFonts w:ascii="Times New Roman" w:hAnsi="Times New Roman"/>
                <w:color w:val="FF0000"/>
                <w:sz w:val="28"/>
                <w:u w:val="single"/>
                <w:lang w:bidi="en-US"/>
              </w:rPr>
              <w:t>they are</w:t>
            </w:r>
            <w:r w:rsidRPr="00474153">
              <w:rPr>
                <w:rFonts w:ascii="Times New Roman" w:hAnsi="Times New Roman"/>
                <w:sz w:val="28"/>
                <w:lang w:bidi="en-US"/>
              </w:rPr>
              <w:t xml:space="preserve"> required to establish an AML/CFT Program at the group level and implement throughout all branches (or subsidiaries) within the group. </w:t>
            </w:r>
          </w:p>
          <w:p w14:paraId="6485B05E" w14:textId="1B89440B" w:rsidR="00CA2D44" w:rsidRPr="00474153" w:rsidRDefault="00CA2D44" w:rsidP="00A56215">
            <w:pPr>
              <w:pStyle w:val="a4"/>
              <w:numPr>
                <w:ilvl w:val="1"/>
                <w:numId w:val="86"/>
              </w:numPr>
              <w:snapToGrid w:val="0"/>
              <w:spacing w:line="400" w:lineRule="exact"/>
              <w:ind w:leftChars="0" w:left="566" w:rightChars="-17" w:right="-41" w:hanging="566"/>
              <w:rPr>
                <w:rFonts w:ascii="Times New Roman" w:eastAsia="標楷體" w:hAnsi="Times New Roman"/>
                <w:sz w:val="28"/>
                <w:szCs w:val="28"/>
              </w:rPr>
            </w:pPr>
            <w:r w:rsidRPr="00474153">
              <w:rPr>
                <w:rFonts w:ascii="Times New Roman" w:hAnsi="Times New Roman"/>
                <w:sz w:val="28"/>
                <w:lang w:bidi="en-US"/>
              </w:rPr>
              <w:t>To which industry categories do the abovementioned branches (subsidiaries) apply?</w:t>
            </w:r>
          </w:p>
          <w:p w14:paraId="77CBFD22" w14:textId="4350EE09" w:rsidR="00CA2D44" w:rsidRPr="00474153" w:rsidRDefault="00CA2D44" w:rsidP="00A56215">
            <w:pPr>
              <w:pStyle w:val="a4"/>
              <w:numPr>
                <w:ilvl w:val="1"/>
                <w:numId w:val="86"/>
              </w:numPr>
              <w:snapToGrid w:val="0"/>
              <w:spacing w:line="400" w:lineRule="exact"/>
              <w:ind w:leftChars="0" w:left="566" w:rightChars="-17" w:right="-41" w:hanging="566"/>
              <w:jc w:val="both"/>
              <w:rPr>
                <w:rFonts w:ascii="Times New Roman" w:eastAsia="標楷體" w:hAnsi="Times New Roman"/>
                <w:sz w:val="28"/>
                <w:szCs w:val="28"/>
              </w:rPr>
            </w:pPr>
            <w:r w:rsidRPr="00474153">
              <w:rPr>
                <w:rFonts w:ascii="Times New Roman" w:hAnsi="Times New Roman"/>
                <w:sz w:val="28"/>
                <w:lang w:bidi="en-US"/>
              </w:rPr>
              <w:t xml:space="preserve">Where it says “...implement throughout all branches (or </w:t>
            </w:r>
            <w:r w:rsidRPr="00474153">
              <w:rPr>
                <w:rFonts w:ascii="Times New Roman" w:hAnsi="Times New Roman"/>
                <w:sz w:val="28"/>
                <w:lang w:bidi="en-US"/>
              </w:rPr>
              <w:lastRenderedPageBreak/>
              <w:t>subsidiaries...,” do they include 2nd-tier subsidiaries?</w:t>
            </w:r>
          </w:p>
          <w:p w14:paraId="77831246" w14:textId="39830CA2" w:rsidR="006C14BF" w:rsidRPr="00474153" w:rsidRDefault="00993D6A" w:rsidP="00A56215">
            <w:pPr>
              <w:rPr>
                <w:rFonts w:ascii="Times New Roman" w:eastAsia="標楷體" w:hAnsi="Times New Roman" w:cs="Times New Roman"/>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7</w:t>
            </w:r>
            <w:r w:rsidRPr="00474153">
              <w:rPr>
                <w:rFonts w:ascii="Times New Roman" w:hAnsi="Times New Roman" w:cs="Times New Roman"/>
                <w:sz w:val="28"/>
                <w:lang w:bidi="en-US"/>
              </w:rPr>
              <w:t xml:space="preserve">: </w:t>
            </w:r>
          </w:p>
          <w:p w14:paraId="70A60249" w14:textId="3369A350" w:rsidR="00CA2D44" w:rsidRPr="00474153" w:rsidRDefault="00CA2D44" w:rsidP="00A56215">
            <w:pPr>
              <w:pStyle w:val="a4"/>
              <w:numPr>
                <w:ilvl w:val="0"/>
                <w:numId w:val="87"/>
              </w:numPr>
              <w:snapToGrid w:val="0"/>
              <w:spacing w:line="400" w:lineRule="exact"/>
              <w:ind w:leftChars="0" w:left="552" w:rightChars="-15" w:right="-36" w:hanging="552"/>
              <w:jc w:val="both"/>
              <w:rPr>
                <w:rFonts w:ascii="Times New Roman" w:eastAsia="標楷體" w:hAnsi="Times New Roman"/>
                <w:sz w:val="28"/>
                <w:szCs w:val="28"/>
              </w:rPr>
            </w:pPr>
            <w:r w:rsidRPr="00474153">
              <w:rPr>
                <w:rFonts w:ascii="Times New Roman" w:hAnsi="Times New Roman"/>
                <w:sz w:val="28"/>
                <w:lang w:bidi="en-US"/>
              </w:rPr>
              <w:t xml:space="preserve">Pursuant to the description of Paragraph 4, </w:t>
            </w:r>
            <w:r w:rsidR="00535321" w:rsidRPr="00474153">
              <w:rPr>
                <w:rFonts w:ascii="Times New Roman" w:hAnsi="Times New Roman"/>
                <w:color w:val="FF0000"/>
                <w:sz w:val="28"/>
                <w:u w:val="single"/>
                <w:lang w:bidi="en-US"/>
              </w:rPr>
              <w:t>Article 6</w:t>
            </w:r>
            <w:r w:rsidRPr="00474153">
              <w:rPr>
                <w:rFonts w:ascii="Times New Roman" w:hAnsi="Times New Roman"/>
                <w:sz w:val="28"/>
                <w:lang w:bidi="en-US"/>
              </w:rPr>
              <w:t xml:space="preserve"> of the Internal Control and </w:t>
            </w:r>
            <w:r w:rsidR="00535321" w:rsidRPr="00474153">
              <w:rPr>
                <w:rFonts w:ascii="Times New Roman" w:hAnsi="Times New Roman"/>
                <w:color w:val="FF0000"/>
                <w:sz w:val="28"/>
                <w:u w:val="single"/>
                <w:lang w:bidi="en-US"/>
              </w:rPr>
              <w:t>Audit System Implementation Measures</w:t>
            </w:r>
            <w:r w:rsidRPr="00474153">
              <w:rPr>
                <w:rFonts w:ascii="Times New Roman" w:hAnsi="Times New Roman"/>
                <w:sz w:val="28"/>
                <w:lang w:bidi="en-US"/>
              </w:rPr>
              <w:t>, the scope of the branch (or subsidiary) within the group is limited to those subject to the local financial institution’s anti-money laundering and combating terrorism financing regulations. Therefore, if a branch (or subsidiary) is located overseas, the overseas financial institution AML/CFT regulations shall apply.</w:t>
            </w:r>
          </w:p>
          <w:p w14:paraId="7F3E191B" w14:textId="38BE8E99" w:rsidR="00CA2D44" w:rsidRPr="00474153" w:rsidRDefault="00535321">
            <w:pPr>
              <w:pStyle w:val="a4"/>
              <w:numPr>
                <w:ilvl w:val="0"/>
                <w:numId w:val="87"/>
              </w:numPr>
              <w:snapToGrid w:val="0"/>
              <w:spacing w:line="400" w:lineRule="exact"/>
              <w:ind w:leftChars="0" w:left="552" w:rightChars="-15" w:right="-36" w:hanging="552"/>
              <w:jc w:val="both"/>
              <w:rPr>
                <w:rFonts w:ascii="Times New Roman" w:eastAsia="標楷體" w:hAnsi="Times New Roman"/>
                <w:sz w:val="28"/>
                <w:szCs w:val="28"/>
              </w:rPr>
            </w:pPr>
            <w:r w:rsidRPr="00474153">
              <w:rPr>
                <w:rFonts w:ascii="Times New Roman" w:hAnsi="Times New Roman"/>
                <w:sz w:val="28"/>
                <w:lang w:bidi="en-US"/>
              </w:rPr>
              <w:t>The group-level AML/CFT Program shall be implemented at least on all entities in which the group exercises material control, as disclosed in the financial statements.</w:t>
            </w:r>
          </w:p>
        </w:tc>
        <w:tc>
          <w:tcPr>
            <w:tcW w:w="8335" w:type="dxa"/>
            <w:shd w:val="clear" w:color="auto" w:fill="auto"/>
          </w:tcPr>
          <w:p w14:paraId="0C562B48" w14:textId="76AAFD57" w:rsidR="00056E52" w:rsidRPr="00474153" w:rsidRDefault="00056E52">
            <w:pPr>
              <w:pStyle w:val="a4"/>
              <w:snapToGrid w:val="0"/>
              <w:spacing w:line="400" w:lineRule="exact"/>
              <w:ind w:leftChars="6" w:left="571" w:rightChars="-15" w:right="-36" w:hangingChars="199" w:hanging="557"/>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9</w:t>
            </w:r>
            <w:r w:rsidRPr="00474153">
              <w:rPr>
                <w:rFonts w:ascii="Times New Roman" w:hAnsi="Times New Roman"/>
                <w:sz w:val="28"/>
                <w:lang w:bidi="en-US"/>
              </w:rPr>
              <w:t xml:space="preserve">: According to Paragraph 4, </w:t>
            </w:r>
            <w:r w:rsidRPr="00474153">
              <w:rPr>
                <w:rFonts w:ascii="Times New Roman" w:hAnsi="Times New Roman"/>
                <w:color w:val="FF0000"/>
                <w:sz w:val="28"/>
                <w:u w:val="single"/>
                <w:lang w:bidi="en-US"/>
              </w:rPr>
              <w:t>Note 7</w:t>
            </w:r>
            <w:r w:rsidRPr="00474153">
              <w:rPr>
                <w:rFonts w:ascii="Times New Roman" w:hAnsi="Times New Roman"/>
                <w:sz w:val="28"/>
                <w:lang w:bidi="en-US"/>
              </w:rPr>
              <w:t xml:space="preserve"> of the “</w:t>
            </w:r>
            <w:r w:rsidRPr="00474153">
              <w:rPr>
                <w:rFonts w:ascii="Times New Roman" w:hAnsi="Times New Roman"/>
                <w:color w:val="FF0000"/>
                <w:sz w:val="28"/>
                <w:u w:val="single"/>
                <w:lang w:bidi="en-US"/>
              </w:rPr>
              <w:t>Directions</w:t>
            </w:r>
            <w:r w:rsidRPr="00474153">
              <w:rPr>
                <w:rFonts w:ascii="Times New Roman" w:hAnsi="Times New Roman"/>
                <w:sz w:val="28"/>
                <w:lang w:bidi="en-US"/>
              </w:rPr>
              <w:t xml:space="preserve"> Governing Internal Control System of Anti-Money Laundering and Governing Terrorism Financing of Banking Business, </w:t>
            </w:r>
            <w:r w:rsidRPr="00474153">
              <w:rPr>
                <w:rFonts w:ascii="Times New Roman" w:hAnsi="Times New Roman"/>
                <w:color w:val="FF0000"/>
                <w:sz w:val="28"/>
                <w:u w:val="single"/>
                <w:lang w:bidi="en-US"/>
              </w:rPr>
              <w:t>Electronic Payment Institution and Electronic Stored Value Card Business</w:t>
            </w:r>
            <w:r w:rsidRPr="00474153">
              <w:rPr>
                <w:rFonts w:ascii="Times New Roman" w:hAnsi="Times New Roman"/>
                <w:sz w:val="28"/>
                <w:lang w:bidi="en-US"/>
              </w:rPr>
              <w:t>” (hereinafter referred to as “</w:t>
            </w:r>
            <w:r w:rsidRPr="00474153">
              <w:rPr>
                <w:rFonts w:ascii="Times New Roman" w:hAnsi="Times New Roman"/>
                <w:color w:val="FF0000"/>
                <w:sz w:val="28"/>
                <w:u w:val="single"/>
                <w:lang w:bidi="en-US"/>
              </w:rPr>
              <w:t>Directions</w:t>
            </w:r>
            <w:r w:rsidRPr="00474153">
              <w:rPr>
                <w:rFonts w:ascii="Times New Roman" w:hAnsi="Times New Roman"/>
                <w:sz w:val="28"/>
                <w:lang w:bidi="en-US"/>
              </w:rPr>
              <w:t xml:space="preserve"> Governing Internal Control System”) and Paragraph 4, Article 2 of the Model Guidelines, “</w:t>
            </w:r>
            <w:r w:rsidRPr="00474153">
              <w:rPr>
                <w:rFonts w:ascii="Times New Roman" w:hAnsi="Times New Roman"/>
                <w:color w:val="FF0000"/>
                <w:sz w:val="28"/>
                <w:u w:val="single"/>
                <w:lang w:bidi="en-US"/>
              </w:rPr>
              <w:t>for banks, Electronic Payment Institution and Electronic Stored Value Card Business</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with foreign</w:t>
            </w:r>
            <w:r w:rsidRPr="00474153">
              <w:rPr>
                <w:rFonts w:ascii="Times New Roman" w:hAnsi="Times New Roman"/>
                <w:sz w:val="28"/>
                <w:lang w:bidi="en-US"/>
              </w:rPr>
              <w:t xml:space="preserve"> branches (or subsidiaries) established, they are required to establish an AML/CFT Program at the group level and implement throughout all branches (or subsidiaries) within the group. </w:t>
            </w:r>
          </w:p>
          <w:p w14:paraId="60C7100B" w14:textId="77777777" w:rsidR="00056E52" w:rsidRPr="00474153" w:rsidRDefault="00056E52">
            <w:pPr>
              <w:pStyle w:val="a4"/>
              <w:numPr>
                <w:ilvl w:val="0"/>
                <w:numId w:val="31"/>
              </w:numPr>
              <w:spacing w:line="400" w:lineRule="exact"/>
              <w:ind w:leftChars="0" w:left="534" w:rightChars="-15" w:right="-36" w:hanging="567"/>
              <w:jc w:val="both"/>
              <w:rPr>
                <w:rFonts w:ascii="Times New Roman" w:eastAsia="標楷體" w:hAnsi="Times New Roman"/>
                <w:color w:val="FF0000"/>
                <w:sz w:val="28"/>
                <w:szCs w:val="28"/>
              </w:rPr>
            </w:pPr>
            <w:r w:rsidRPr="00474153">
              <w:rPr>
                <w:rFonts w:ascii="Times New Roman" w:hAnsi="Times New Roman"/>
                <w:sz w:val="28"/>
                <w:lang w:bidi="en-US"/>
              </w:rPr>
              <w:t>To which industry categories do the abovementioned branches (subsidiaries) apply?</w:t>
            </w:r>
          </w:p>
          <w:p w14:paraId="4FBF5A40" w14:textId="77777777" w:rsidR="00056E52" w:rsidRPr="00474153" w:rsidRDefault="00056E52">
            <w:pPr>
              <w:pStyle w:val="a4"/>
              <w:numPr>
                <w:ilvl w:val="0"/>
                <w:numId w:val="31"/>
              </w:numPr>
              <w:spacing w:line="400" w:lineRule="exact"/>
              <w:ind w:leftChars="0" w:left="534" w:rightChars="-15" w:right="-36" w:hanging="567"/>
              <w:jc w:val="both"/>
              <w:rPr>
                <w:rFonts w:ascii="Times New Roman" w:eastAsia="標楷體" w:hAnsi="Times New Roman"/>
                <w:sz w:val="28"/>
                <w:szCs w:val="28"/>
              </w:rPr>
            </w:pPr>
            <w:r w:rsidRPr="00474153">
              <w:rPr>
                <w:rFonts w:ascii="Times New Roman" w:hAnsi="Times New Roman"/>
                <w:sz w:val="28"/>
                <w:lang w:bidi="en-US"/>
              </w:rPr>
              <w:lastRenderedPageBreak/>
              <w:t>Where it says “...implement throughout all branches (or subsidiaries...,” do they include 2nd-tier subsidiaries?</w:t>
            </w:r>
          </w:p>
          <w:p w14:paraId="7AF6246F" w14:textId="77777777" w:rsidR="00056E52" w:rsidRPr="00474153" w:rsidRDefault="00056E52" w:rsidP="00A56215">
            <w:pPr>
              <w:ind w:rightChars="-15" w:right="-36"/>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9</w:t>
            </w:r>
            <w:r w:rsidRPr="00474153">
              <w:rPr>
                <w:rFonts w:ascii="Times New Roman" w:hAnsi="Times New Roman" w:cs="Times New Roman"/>
                <w:sz w:val="28"/>
                <w:lang w:bidi="en-US"/>
              </w:rPr>
              <w:t xml:space="preserve">: </w:t>
            </w:r>
          </w:p>
          <w:p w14:paraId="4FE0B8B3" w14:textId="7AF5987B" w:rsidR="00056E52" w:rsidRPr="00474153" w:rsidRDefault="00056E52" w:rsidP="00A56215">
            <w:pPr>
              <w:pStyle w:val="a4"/>
              <w:numPr>
                <w:ilvl w:val="0"/>
                <w:numId w:val="110"/>
              </w:numPr>
              <w:snapToGrid w:val="0"/>
              <w:spacing w:line="400" w:lineRule="exact"/>
              <w:ind w:leftChars="0" w:left="513" w:rightChars="-15" w:right="-36" w:hanging="546"/>
              <w:jc w:val="both"/>
              <w:rPr>
                <w:rFonts w:ascii="Times New Roman" w:eastAsia="標楷體" w:hAnsi="Times New Roman"/>
                <w:sz w:val="28"/>
                <w:szCs w:val="28"/>
              </w:rPr>
            </w:pPr>
            <w:r w:rsidRPr="00474153">
              <w:rPr>
                <w:rFonts w:ascii="Times New Roman" w:hAnsi="Times New Roman"/>
                <w:sz w:val="28"/>
                <w:lang w:bidi="en-US"/>
              </w:rPr>
              <w:t xml:space="preserve">Pursuant to the description of Paragraph 4, </w:t>
            </w:r>
            <w:r w:rsidRPr="00474153">
              <w:rPr>
                <w:rFonts w:ascii="Times New Roman" w:hAnsi="Times New Roman"/>
                <w:color w:val="FF0000"/>
                <w:sz w:val="28"/>
                <w:u w:val="single"/>
                <w:lang w:bidi="en-US"/>
              </w:rPr>
              <w:t>Note 7</w:t>
            </w:r>
            <w:r w:rsidRPr="00474153">
              <w:rPr>
                <w:rFonts w:ascii="Times New Roman" w:hAnsi="Times New Roman"/>
                <w:sz w:val="28"/>
                <w:lang w:bidi="en-US"/>
              </w:rPr>
              <w:t xml:space="preserve"> of the </w:t>
            </w:r>
            <w:r w:rsidRPr="00474153">
              <w:rPr>
                <w:rFonts w:ascii="Times New Roman" w:hAnsi="Times New Roman"/>
                <w:color w:val="FF0000"/>
                <w:sz w:val="28"/>
                <w:u w:val="single"/>
                <w:lang w:bidi="en-US"/>
              </w:rPr>
              <w:t>Directions</w:t>
            </w:r>
            <w:r w:rsidRPr="00474153">
              <w:rPr>
                <w:rFonts w:ascii="Times New Roman" w:hAnsi="Times New Roman"/>
                <w:sz w:val="28"/>
                <w:lang w:bidi="en-US"/>
              </w:rPr>
              <w:t xml:space="preserve"> for Internal Control, the scope of the branch (or subsidiary) within the group is limited to those subject to the local financial institution’s anti-money laundering and combating terrorism financing regulations. Therefore, if a branch (or subsidiary) is located overseas, the overseas financial institution AML/CFT regulations shall apply.</w:t>
            </w:r>
          </w:p>
          <w:p w14:paraId="7B1A86F6" w14:textId="77777777" w:rsidR="00056E52" w:rsidRPr="00474153" w:rsidRDefault="00056E52" w:rsidP="00A56215">
            <w:pPr>
              <w:pStyle w:val="a4"/>
              <w:numPr>
                <w:ilvl w:val="0"/>
                <w:numId w:val="110"/>
              </w:numPr>
              <w:snapToGrid w:val="0"/>
              <w:spacing w:line="400" w:lineRule="exact"/>
              <w:ind w:leftChars="0" w:left="513" w:rightChars="-15" w:right="-36" w:hanging="546"/>
              <w:jc w:val="both"/>
              <w:rPr>
                <w:rFonts w:ascii="Times New Roman" w:eastAsia="標楷體" w:hAnsi="Times New Roman"/>
                <w:bCs/>
                <w:sz w:val="28"/>
                <w:szCs w:val="28"/>
              </w:rPr>
            </w:pPr>
            <w:r w:rsidRPr="00474153">
              <w:rPr>
                <w:rFonts w:ascii="Times New Roman" w:hAnsi="Times New Roman"/>
                <w:sz w:val="28"/>
                <w:lang w:bidi="en-US"/>
              </w:rPr>
              <w:t>The group-level AML/CFT Program shall be implemented at least on all entities in which the group exercises material control, as disclosed in the financial statements.</w:t>
            </w:r>
          </w:p>
        </w:tc>
        <w:tc>
          <w:tcPr>
            <w:tcW w:w="4567" w:type="dxa"/>
            <w:gridSpan w:val="2"/>
            <w:shd w:val="clear" w:color="auto" w:fill="auto"/>
          </w:tcPr>
          <w:p w14:paraId="43B886B3" w14:textId="77777777" w:rsidR="009569A1" w:rsidRPr="00474153" w:rsidRDefault="009569A1" w:rsidP="00A56215">
            <w:pPr>
              <w:pStyle w:val="a4"/>
              <w:numPr>
                <w:ilvl w:val="0"/>
                <w:numId w:val="111"/>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19145A45" w14:textId="6890032F" w:rsidR="00056E52" w:rsidRPr="00474153" w:rsidRDefault="0095252A" w:rsidP="00A56215">
            <w:pPr>
              <w:pStyle w:val="a4"/>
              <w:numPr>
                <w:ilvl w:val="0"/>
                <w:numId w:val="111"/>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 xml:space="preserve">The “Directions Governing Internal Control System of Anti-Money Laundering and Governing Terrorism Financing of Banking Business, Electronic Payment Institution and Electronic Stored Value Card Business” that was cited in this question was abolished by the Financial Supervisory Commission (FSC) with Letter No. Jin-Guan-Yin-Fa-Zi No. </w:t>
            </w:r>
            <w:r w:rsidRPr="00474153">
              <w:rPr>
                <w:rFonts w:ascii="Times New Roman" w:hAnsi="Times New Roman"/>
                <w:sz w:val="28"/>
                <w:lang w:bidi="en-US"/>
              </w:rPr>
              <w:lastRenderedPageBreak/>
              <w:t>10702744680 dated November 9, 2018. Therefore, the provision of Paragraph 4, Article 6 of the “Regulations Governing Internal Audit and Internal Control System of Anti-Money Laundering and Countering Terrorism Financing of Banking Business and Other Financial Institutions Designated by the Financial Supervisory Commission” is implemented instead.</w:t>
            </w:r>
          </w:p>
        </w:tc>
      </w:tr>
      <w:tr w:rsidR="00056E52" w:rsidRPr="00474153" w14:paraId="66D1D682" w14:textId="77777777" w:rsidTr="00056E52">
        <w:tc>
          <w:tcPr>
            <w:tcW w:w="510" w:type="dxa"/>
            <w:shd w:val="clear" w:color="auto" w:fill="auto"/>
          </w:tcPr>
          <w:p w14:paraId="3D547C0E"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10</w:t>
            </w:r>
          </w:p>
        </w:tc>
        <w:tc>
          <w:tcPr>
            <w:tcW w:w="8335" w:type="dxa"/>
            <w:shd w:val="clear" w:color="auto" w:fill="auto"/>
          </w:tcPr>
          <w:p w14:paraId="6D27F050" w14:textId="77777777" w:rsidR="00056E52" w:rsidRPr="00474153" w:rsidRDefault="00056E52">
            <w:pPr>
              <w:ind w:rightChars="-15" w:right="-36"/>
              <w:jc w:val="both"/>
              <w:rPr>
                <w:rFonts w:ascii="Times New Roman" w:eastAsia="標楷體" w:hAnsi="Times New Roman" w:cs="Times New Roman"/>
                <w:sz w:val="28"/>
                <w:szCs w:val="28"/>
              </w:rPr>
            </w:pPr>
          </w:p>
        </w:tc>
        <w:tc>
          <w:tcPr>
            <w:tcW w:w="8335" w:type="dxa"/>
            <w:shd w:val="clear" w:color="auto" w:fill="auto"/>
          </w:tcPr>
          <w:p w14:paraId="303B14FD" w14:textId="77777777" w:rsidR="00056E52" w:rsidRPr="00474153" w:rsidRDefault="00056E52" w:rsidP="00A56215">
            <w:pPr>
              <w:pStyle w:val="a4"/>
              <w:snapToGrid w:val="0"/>
              <w:spacing w:line="400" w:lineRule="exact"/>
              <w:ind w:leftChars="6" w:left="571" w:rightChars="-15" w:right="-36" w:hangingChars="199" w:hanging="557"/>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Q10: According to Article 19 of the Model Guidelines, establishment and amendment of AML/CFT Guidelines are subject to the approval of the bank’s board of directors. Would approval from the board of managing directors conform with the above requirement?</w:t>
            </w:r>
          </w:p>
          <w:p w14:paraId="65A10559" w14:textId="77777777" w:rsidR="00056E52" w:rsidRPr="00474153" w:rsidRDefault="00056E52">
            <w:pPr>
              <w:ind w:left="580" w:rightChars="-15" w:right="-36" w:hangingChars="207" w:hanging="580"/>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A10:</w:t>
            </w:r>
          </w:p>
          <w:p w14:paraId="6D57268F" w14:textId="77777777" w:rsidR="00056E52" w:rsidRPr="00474153" w:rsidRDefault="00056E52">
            <w:pPr>
              <w:ind w:rightChars="-15" w:right="-36"/>
              <w:jc w:val="both"/>
              <w:rPr>
                <w:rFonts w:ascii="Times New Roman" w:eastAsia="標楷體" w:hAnsi="Times New Roman" w:cs="Times New Roman"/>
                <w:sz w:val="28"/>
                <w:szCs w:val="28"/>
              </w:rPr>
            </w:pPr>
            <w:r w:rsidRPr="00474153">
              <w:rPr>
                <w:rFonts w:ascii="Times New Roman" w:hAnsi="Times New Roman" w:cs="Times New Roman"/>
                <w:color w:val="FF0000"/>
                <w:sz w:val="28"/>
                <w:lang w:bidi="en-US"/>
              </w:rPr>
              <w:t>The board of directors mentioned in this Model Guidelines is not the same as the board of managing directors, therefore the establishment/amendment of AML/CFT Guidelines is still subject to the approval of the board of directors.</w:t>
            </w:r>
          </w:p>
        </w:tc>
        <w:tc>
          <w:tcPr>
            <w:tcW w:w="4567" w:type="dxa"/>
            <w:gridSpan w:val="2"/>
            <w:shd w:val="clear" w:color="auto" w:fill="auto"/>
          </w:tcPr>
          <w:p w14:paraId="436F261F" w14:textId="77777777" w:rsidR="00510EF9" w:rsidRPr="00474153" w:rsidRDefault="00510EF9" w:rsidP="00A56215">
            <w:pPr>
              <w:pStyle w:val="a4"/>
              <w:numPr>
                <w:ilvl w:val="0"/>
                <w:numId w:val="112"/>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This question is deleted.</w:t>
            </w:r>
          </w:p>
          <w:p w14:paraId="1A165BF0" w14:textId="77777777" w:rsidR="00056E52" w:rsidRPr="00474153" w:rsidRDefault="00831A72" w:rsidP="00A56215">
            <w:pPr>
              <w:pStyle w:val="a4"/>
              <w:numPr>
                <w:ilvl w:val="0"/>
                <w:numId w:val="112"/>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The provisions of the Model Guidelines cited originally had been deleted; therefore, this question is also deleted.</w:t>
            </w:r>
          </w:p>
        </w:tc>
      </w:tr>
      <w:tr w:rsidR="00056E52" w:rsidRPr="00474153" w14:paraId="530DAAED" w14:textId="77777777" w:rsidTr="00056E52">
        <w:tc>
          <w:tcPr>
            <w:tcW w:w="510" w:type="dxa"/>
            <w:shd w:val="clear" w:color="auto" w:fill="auto"/>
          </w:tcPr>
          <w:p w14:paraId="1B1F2EA4" w14:textId="77777777" w:rsidR="00056E5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11</w:t>
            </w:r>
          </w:p>
        </w:tc>
        <w:tc>
          <w:tcPr>
            <w:tcW w:w="8335" w:type="dxa"/>
            <w:shd w:val="clear" w:color="auto" w:fill="auto"/>
          </w:tcPr>
          <w:p w14:paraId="164D1542" w14:textId="56024B2B" w:rsidR="00185D9E" w:rsidRPr="00474153" w:rsidRDefault="00185D9E" w:rsidP="00A56215">
            <w:pPr>
              <w:pStyle w:val="a4"/>
              <w:snapToGrid w:val="0"/>
              <w:spacing w:line="400" w:lineRule="exact"/>
              <w:ind w:leftChars="6" w:left="566" w:hangingChars="197" w:hanging="552"/>
              <w:jc w:val="both"/>
              <w:rPr>
                <w:rFonts w:ascii="Times New Roman" w:eastAsia="標楷體" w:hAnsi="Times New Roman"/>
                <w:bCs/>
                <w:caps/>
                <w:sz w:val="28"/>
                <w:szCs w:val="28"/>
              </w:rPr>
            </w:pPr>
            <w:r w:rsidRPr="00474153">
              <w:rPr>
                <w:rFonts w:ascii="Times New Roman" w:hAnsi="Times New Roman"/>
                <w:sz w:val="28"/>
                <w:lang w:bidi="en-US"/>
              </w:rPr>
              <w:t>Q</w:t>
            </w:r>
            <w:r w:rsidR="009561D9" w:rsidRPr="00474153">
              <w:rPr>
                <w:rFonts w:ascii="Times New Roman" w:hAnsi="Times New Roman"/>
                <w:color w:val="FF0000"/>
                <w:sz w:val="28"/>
                <w:u w:val="single"/>
                <w:lang w:bidi="en-US"/>
              </w:rPr>
              <w:t>8</w:t>
            </w:r>
            <w:r w:rsidRPr="00474153">
              <w:rPr>
                <w:rFonts w:ascii="Times New Roman" w:hAnsi="Times New Roman"/>
                <w:sz w:val="28"/>
                <w:lang w:bidi="en-US"/>
              </w:rPr>
              <w:t xml:space="preserve">: According to Subparagraph 3, Paragraph 1, Article 2 of the Model Guidelines, the “Standard operating procedures for monitoring compliance with AML/CFT regulations </w:t>
            </w:r>
            <w:r w:rsidRPr="00474153">
              <w:rPr>
                <w:rFonts w:ascii="Times New Roman" w:hAnsi="Times New Roman"/>
                <w:color w:val="FF0000"/>
                <w:sz w:val="28"/>
                <w:u w:val="single"/>
                <w:lang w:bidi="en-US"/>
              </w:rPr>
              <w:t>and</w:t>
            </w:r>
            <w:r w:rsidRPr="00474153">
              <w:rPr>
                <w:rFonts w:ascii="Times New Roman" w:hAnsi="Times New Roman"/>
                <w:sz w:val="28"/>
                <w:lang w:bidi="en-US"/>
              </w:rPr>
              <w:t xml:space="preserve"> execution of the AML/CFT Program” (hereinafter referred to as “Standard Operating Procedures”) should be approved by the Board of Directors; the same applies for amendments to be made. In practice, however, most “Standard Procedures” have implications on an operational level only, and the establishment or amendment of which do not involve the board of directors. Is it still necessary to have the above “Standard Procedures” approved by the board of directors?</w:t>
            </w:r>
          </w:p>
          <w:p w14:paraId="263549FD" w14:textId="310AA091" w:rsidR="00185D9E" w:rsidRPr="00474153" w:rsidRDefault="00185D9E" w:rsidP="00A56215">
            <w:pPr>
              <w:ind w:left="580" w:rightChars="-15" w:right="-36" w:hangingChars="207" w:hanging="580"/>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009561D9" w:rsidRPr="00474153">
              <w:rPr>
                <w:rFonts w:ascii="Times New Roman" w:hAnsi="Times New Roman" w:cs="Times New Roman"/>
                <w:color w:val="FF0000"/>
                <w:sz w:val="28"/>
                <w:u w:val="single"/>
                <w:lang w:bidi="en-US"/>
              </w:rPr>
              <w:t>8</w:t>
            </w:r>
            <w:r w:rsidRPr="00474153">
              <w:rPr>
                <w:rFonts w:ascii="Times New Roman" w:hAnsi="Times New Roman" w:cs="Times New Roman"/>
                <w:sz w:val="28"/>
                <w:lang w:bidi="en-US"/>
              </w:rPr>
              <w:t xml:space="preserve">: </w:t>
            </w:r>
          </w:p>
          <w:p w14:paraId="65642D8C" w14:textId="77777777" w:rsidR="00056E52" w:rsidRPr="00474153" w:rsidRDefault="00185D9E">
            <w:pPr>
              <w:ind w:rightChars="-15" w:right="-36"/>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The emphasis of this requirement is to have supervisory procedures approved by the board of directors; it does not require the board of directors to approve AML/CFT operations in detail. Banks are free to decide which Standard Procedures are subject to the board of directors’ approval.</w:t>
            </w:r>
          </w:p>
        </w:tc>
        <w:tc>
          <w:tcPr>
            <w:tcW w:w="8335" w:type="dxa"/>
            <w:shd w:val="clear" w:color="auto" w:fill="auto"/>
          </w:tcPr>
          <w:p w14:paraId="4F344E5E" w14:textId="77777777" w:rsidR="00056E52" w:rsidRPr="00474153" w:rsidRDefault="00056E52">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11</w:t>
            </w:r>
            <w:r w:rsidRPr="00474153">
              <w:rPr>
                <w:rFonts w:ascii="Times New Roman" w:hAnsi="Times New Roman"/>
                <w:sz w:val="28"/>
                <w:lang w:bidi="en-US"/>
              </w:rPr>
              <w:t xml:space="preserve">: According to Subparagraph 3, Paragraph 1, Article 2 of the Model Guidelines, the “Standard operating procedures for monitoring compliance with AML/CFT regulations </w:t>
            </w:r>
            <w:r w:rsidRPr="00474153">
              <w:rPr>
                <w:rFonts w:ascii="Times New Roman" w:hAnsi="Times New Roman"/>
                <w:color w:val="FF0000"/>
                <w:sz w:val="28"/>
                <w:u w:val="single"/>
                <w:lang w:bidi="en-US"/>
              </w:rPr>
              <w:t>and</w:t>
            </w:r>
            <w:r w:rsidRPr="00474153">
              <w:rPr>
                <w:rFonts w:ascii="Times New Roman" w:hAnsi="Times New Roman"/>
                <w:sz w:val="28"/>
                <w:lang w:bidi="en-US"/>
              </w:rPr>
              <w:t xml:space="preserve"> execution of the AML/CFT Program” (hereinafter referred to as “Standard Operating Procedures”) should be approved by the Board of Directors; the same applies for amendments to be made. In practice, however, most “Standard Procedures” have implications on an operational level only, and the establishment or amendment of which do not involve the board of directors. Is it still necessary to have the above “Standard Procedures” approved by the board of directors?</w:t>
            </w:r>
          </w:p>
          <w:p w14:paraId="24AF4551" w14:textId="77777777" w:rsidR="00056E52" w:rsidRPr="00474153" w:rsidRDefault="00056E52" w:rsidP="00A56215">
            <w:pPr>
              <w:ind w:left="580" w:rightChars="-15" w:right="-36" w:hangingChars="207" w:hanging="580"/>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lastRenderedPageBreak/>
              <w:t>A</w:t>
            </w:r>
            <w:r w:rsidRPr="00474153">
              <w:rPr>
                <w:rFonts w:ascii="Times New Roman" w:hAnsi="Times New Roman" w:cs="Times New Roman"/>
                <w:color w:val="FF0000"/>
                <w:sz w:val="28"/>
                <w:u w:val="single"/>
                <w:lang w:bidi="en-US"/>
              </w:rPr>
              <w:t>11</w:t>
            </w:r>
            <w:r w:rsidRPr="00474153">
              <w:rPr>
                <w:rFonts w:ascii="Times New Roman" w:hAnsi="Times New Roman" w:cs="Times New Roman"/>
                <w:sz w:val="28"/>
                <w:lang w:bidi="en-US"/>
              </w:rPr>
              <w:t>:</w:t>
            </w:r>
          </w:p>
          <w:p w14:paraId="7302EDBE" w14:textId="77777777" w:rsidR="00056E52" w:rsidRPr="00474153" w:rsidRDefault="00056E52">
            <w:pPr>
              <w:ind w:rightChars="-15" w:right="-36"/>
              <w:jc w:val="both"/>
              <w:rPr>
                <w:rFonts w:ascii="Times New Roman" w:eastAsia="標楷體" w:hAnsi="Times New Roman" w:cs="Times New Roman"/>
                <w:sz w:val="28"/>
                <w:szCs w:val="28"/>
              </w:rPr>
            </w:pPr>
            <w:r w:rsidRPr="00474153">
              <w:rPr>
                <w:rFonts w:ascii="Times New Roman" w:hAnsi="Times New Roman" w:cs="Times New Roman"/>
                <w:sz w:val="28"/>
                <w:lang w:bidi="en-US"/>
              </w:rPr>
              <w:t>The emphasis of this requirement is to have supervisory procedures approved by the board of directors; it does not require the board of directors to approve AML/CFT operations in detail. Banks are free to decide which Standard Procedures are subject to the board of directors’ approval.</w:t>
            </w:r>
          </w:p>
        </w:tc>
        <w:tc>
          <w:tcPr>
            <w:tcW w:w="4567" w:type="dxa"/>
            <w:gridSpan w:val="2"/>
            <w:shd w:val="clear" w:color="auto" w:fill="auto"/>
          </w:tcPr>
          <w:p w14:paraId="52679080" w14:textId="77777777" w:rsidR="00056E52" w:rsidRPr="00474153" w:rsidRDefault="00185D9E" w:rsidP="00A56215">
            <w:pPr>
              <w:pStyle w:val="a4"/>
              <w:numPr>
                <w:ilvl w:val="0"/>
                <w:numId w:val="115"/>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6A1F6FB7" w14:textId="67DA2CD7" w:rsidR="00185D9E" w:rsidRPr="00474153" w:rsidRDefault="00185D9E" w:rsidP="00A56215">
            <w:pPr>
              <w:pStyle w:val="a4"/>
              <w:numPr>
                <w:ilvl w:val="0"/>
                <w:numId w:val="115"/>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Text amendment is made in accordance with Subparagraph 3, Paragraph 1, Article 2 of the Model Guidelines.</w:t>
            </w:r>
          </w:p>
        </w:tc>
      </w:tr>
    </w:tbl>
    <w:p w14:paraId="4E633212" w14:textId="77777777" w:rsidR="00844741" w:rsidRPr="00474153" w:rsidRDefault="00844741">
      <w:pPr>
        <w:rPr>
          <w:rFonts w:ascii="Times New Roman" w:eastAsia="標楷體" w:hAnsi="Times New Roman" w:cs="Times New Roman"/>
          <w:sz w:val="28"/>
          <w:szCs w:val="28"/>
        </w:rPr>
      </w:pPr>
      <w:r w:rsidRPr="00474153">
        <w:rPr>
          <w:rFonts w:ascii="Times New Roman" w:hAnsi="Times New Roman" w:cs="Times New Roman"/>
          <w:sz w:val="28"/>
          <w:lang w:bidi="en-US"/>
        </w:rPr>
        <w:br w:type="page"/>
      </w:r>
    </w:p>
    <w:p w14:paraId="4E84AC90" w14:textId="77777777" w:rsidR="00826D28" w:rsidRPr="00474153" w:rsidRDefault="0056411A">
      <w:pP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3. Customer identity confirmation and verification</w:t>
      </w:r>
    </w:p>
    <w:p w14:paraId="52DCE9DA" w14:textId="77777777" w:rsidR="0056411A" w:rsidRPr="00474153" w:rsidRDefault="0056411A">
      <w:pPr>
        <w:rPr>
          <w:rFonts w:ascii="Times New Roman" w:eastAsia="標楷體" w:hAnsi="Times New Roman" w:cs="Times New Roman"/>
          <w:sz w:val="28"/>
          <w:szCs w:val="28"/>
        </w:rPr>
      </w:pPr>
    </w:p>
    <w:tbl>
      <w:tblPr>
        <w:tblStyle w:val="a3"/>
        <w:tblW w:w="21825" w:type="dxa"/>
        <w:tblLayout w:type="fixed"/>
        <w:tblLook w:val="04A0" w:firstRow="1" w:lastRow="0" w:firstColumn="1" w:lastColumn="0" w:noHBand="0" w:noVBand="1"/>
      </w:tblPr>
      <w:tblGrid>
        <w:gridCol w:w="510"/>
        <w:gridCol w:w="8335"/>
        <w:gridCol w:w="8335"/>
        <w:gridCol w:w="4645"/>
      </w:tblGrid>
      <w:tr w:rsidR="00AA6AB5" w:rsidRPr="00474153" w14:paraId="3DD21B8F" w14:textId="77777777" w:rsidTr="00E419A6">
        <w:trPr>
          <w:tblHeader/>
        </w:trPr>
        <w:tc>
          <w:tcPr>
            <w:tcW w:w="510" w:type="dxa"/>
            <w:shd w:val="clear" w:color="auto" w:fill="auto"/>
          </w:tcPr>
          <w:p w14:paraId="00042C5D" w14:textId="77777777" w:rsidR="00AA6AB5" w:rsidRPr="00474153" w:rsidRDefault="00AA6AB5">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w:t>
            </w:r>
          </w:p>
        </w:tc>
        <w:tc>
          <w:tcPr>
            <w:tcW w:w="8335" w:type="dxa"/>
            <w:shd w:val="clear" w:color="auto" w:fill="auto"/>
          </w:tcPr>
          <w:p w14:paraId="3B2688EF" w14:textId="77777777" w:rsidR="00AA6AB5" w:rsidRPr="00474153" w:rsidRDefault="00AA6AB5">
            <w:pPr>
              <w:jc w:val="both"/>
              <w:rPr>
                <w:rFonts w:ascii="Times New Roman" w:eastAsia="標楷體" w:hAnsi="Times New Roman" w:cs="Times New Roman"/>
                <w:sz w:val="28"/>
                <w:szCs w:val="28"/>
              </w:rPr>
            </w:pPr>
            <w:r w:rsidRPr="00474153">
              <w:rPr>
                <w:rFonts w:ascii="Times New Roman" w:hAnsi="Times New Roman" w:cs="Times New Roman"/>
                <w:sz w:val="28"/>
                <w:lang w:bidi="en-US"/>
              </w:rPr>
              <w:t>Corrected Q&amp;A</w:t>
            </w:r>
          </w:p>
        </w:tc>
        <w:tc>
          <w:tcPr>
            <w:tcW w:w="8335" w:type="dxa"/>
            <w:shd w:val="clear" w:color="auto" w:fill="auto"/>
          </w:tcPr>
          <w:p w14:paraId="5060058D" w14:textId="77777777" w:rsidR="00AA6AB5" w:rsidRPr="00474153" w:rsidRDefault="00AA6AB5">
            <w:pPr>
              <w:jc w:val="both"/>
              <w:rPr>
                <w:rFonts w:ascii="Times New Roman" w:eastAsia="標楷體" w:hAnsi="Times New Roman" w:cs="Times New Roman"/>
                <w:sz w:val="28"/>
                <w:szCs w:val="28"/>
              </w:rPr>
            </w:pPr>
            <w:r w:rsidRPr="00474153">
              <w:rPr>
                <w:rFonts w:ascii="Times New Roman" w:hAnsi="Times New Roman" w:cs="Times New Roman"/>
                <w:sz w:val="28"/>
                <w:lang w:bidi="en-US"/>
              </w:rPr>
              <w:t>Current Q&amp;A</w:t>
            </w:r>
          </w:p>
        </w:tc>
        <w:tc>
          <w:tcPr>
            <w:tcW w:w="4645" w:type="dxa"/>
            <w:shd w:val="clear" w:color="auto" w:fill="auto"/>
          </w:tcPr>
          <w:p w14:paraId="0EC1D9ED" w14:textId="77777777" w:rsidR="00AA6AB5" w:rsidRPr="00474153" w:rsidRDefault="00AA6AB5">
            <w:pPr>
              <w:jc w:val="both"/>
              <w:rPr>
                <w:rFonts w:ascii="Times New Roman" w:eastAsia="標楷體" w:hAnsi="Times New Roman" w:cs="Times New Roman"/>
                <w:sz w:val="28"/>
                <w:szCs w:val="28"/>
              </w:rPr>
            </w:pPr>
            <w:r w:rsidRPr="00474153">
              <w:rPr>
                <w:rFonts w:ascii="Times New Roman" w:hAnsi="Times New Roman" w:cs="Times New Roman"/>
                <w:sz w:val="28"/>
                <w:lang w:bidi="en-US"/>
              </w:rPr>
              <w:t>Description</w:t>
            </w:r>
          </w:p>
        </w:tc>
      </w:tr>
      <w:tr w:rsidR="007C11E6" w:rsidRPr="00474153" w14:paraId="2AE77D4A" w14:textId="77777777" w:rsidTr="00E419A6">
        <w:tc>
          <w:tcPr>
            <w:tcW w:w="510" w:type="dxa"/>
            <w:shd w:val="clear" w:color="auto" w:fill="auto"/>
          </w:tcPr>
          <w:p w14:paraId="40781B36" w14:textId="77777777" w:rsidR="007C11E6"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12</w:t>
            </w:r>
          </w:p>
        </w:tc>
        <w:tc>
          <w:tcPr>
            <w:tcW w:w="8335" w:type="dxa"/>
            <w:shd w:val="clear" w:color="auto" w:fill="auto"/>
          </w:tcPr>
          <w:p w14:paraId="5AB8AD6C" w14:textId="24BD00E4" w:rsidR="00FA6FB1" w:rsidRPr="00474153" w:rsidRDefault="00FA6FB1">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9561D9" w:rsidRPr="00474153">
              <w:rPr>
                <w:rFonts w:ascii="Times New Roman" w:hAnsi="Times New Roman"/>
                <w:color w:val="FF0000"/>
                <w:sz w:val="28"/>
                <w:u w:val="single"/>
                <w:lang w:bidi="en-US"/>
              </w:rPr>
              <w:t>9</w:t>
            </w:r>
            <w:r w:rsidRPr="00474153">
              <w:rPr>
                <w:rFonts w:ascii="Times New Roman" w:hAnsi="Times New Roman"/>
                <w:sz w:val="28"/>
                <w:lang w:bidi="en-US"/>
              </w:rPr>
              <w:t>: In the first step of identifying the beneficial owner, how to calculate the directly or indirectly held more than 25% shareholdings/capital contribution?</w:t>
            </w:r>
          </w:p>
          <w:p w14:paraId="79E1FB05" w14:textId="4E826744" w:rsidR="00FA6FB1" w:rsidRPr="00474153" w:rsidRDefault="00FA6FB1">
            <w:pPr>
              <w:pStyle w:val="a4"/>
              <w:snapToGrid w:val="0"/>
              <w:spacing w:line="400" w:lineRule="exact"/>
              <w:ind w:leftChars="0" w:left="566" w:hangingChars="202" w:hanging="566"/>
              <w:jc w:val="both"/>
              <w:rPr>
                <w:rFonts w:ascii="Times New Roman" w:eastAsia="標楷體" w:hAnsi="Times New Roman"/>
                <w:bCs/>
                <w:caps/>
                <w:sz w:val="28"/>
                <w:szCs w:val="28"/>
              </w:rPr>
            </w:pPr>
            <w:r w:rsidRPr="00474153">
              <w:rPr>
                <w:rFonts w:ascii="Times New Roman" w:hAnsi="Times New Roman"/>
                <w:sz w:val="28"/>
                <w:lang w:bidi="en-US"/>
              </w:rPr>
              <w:t>A</w:t>
            </w:r>
            <w:r w:rsidR="009561D9" w:rsidRPr="00474153">
              <w:rPr>
                <w:rFonts w:ascii="Times New Roman" w:hAnsi="Times New Roman"/>
                <w:color w:val="FF0000"/>
                <w:sz w:val="28"/>
                <w:u w:val="single"/>
                <w:lang w:bidi="en-US"/>
              </w:rPr>
              <w:t>9</w:t>
            </w:r>
            <w:r w:rsidRPr="00474153">
              <w:rPr>
                <w:rFonts w:ascii="Times New Roman" w:hAnsi="Times New Roman"/>
                <w:sz w:val="28"/>
                <w:lang w:bidi="en-US"/>
              </w:rPr>
              <w:t xml:space="preserve">: </w:t>
            </w:r>
          </w:p>
          <w:p w14:paraId="6D67F982" w14:textId="77777777" w:rsidR="00FA6FB1" w:rsidRPr="00474153" w:rsidRDefault="00FA6FB1">
            <w:pPr>
              <w:pStyle w:val="a4"/>
              <w:snapToGrid w:val="0"/>
              <w:spacing w:line="400" w:lineRule="exact"/>
              <w:ind w:leftChars="0" w:left="0"/>
              <w:jc w:val="both"/>
              <w:rPr>
                <w:rFonts w:ascii="Times New Roman" w:eastAsia="標楷體" w:hAnsi="Times New Roman"/>
                <w:bCs/>
                <w:caps/>
                <w:sz w:val="28"/>
                <w:szCs w:val="28"/>
              </w:rPr>
            </w:pPr>
            <w:r w:rsidRPr="00474153">
              <w:rPr>
                <w:rFonts w:ascii="Times New Roman" w:hAnsi="Times New Roman"/>
                <w:sz w:val="28"/>
                <w:lang w:bidi="en-US"/>
              </w:rPr>
              <w:t>The 25% shareholding/capital contribution shall take into account all direct and indirect shareholdings or capital. Refer to the following figure for the detailed calculation method.</w:t>
            </w:r>
          </w:p>
          <w:p w14:paraId="48DBD275" w14:textId="77777777" w:rsidR="00FA6FB1" w:rsidRPr="00474153" w:rsidRDefault="00FA6FB1">
            <w:pPr>
              <w:jc w:val="both"/>
              <w:rPr>
                <w:rFonts w:ascii="Times New Roman" w:eastAsia="標楷體" w:hAnsi="Times New Roman" w:cs="Times New Roman"/>
                <w:sz w:val="28"/>
                <w:szCs w:val="28"/>
              </w:rPr>
            </w:pPr>
            <w:r w:rsidRPr="00474153">
              <w:rPr>
                <w:rFonts w:ascii="Times New Roman" w:hAnsi="Times New Roman" w:cs="Times New Roman"/>
                <w:noProof/>
                <w:sz w:val="28"/>
              </w:rPr>
              <mc:AlternateContent>
                <mc:Choice Requires="wpg">
                  <w:drawing>
                    <wp:anchor distT="0" distB="0" distL="114300" distR="114300" simplePos="0" relativeHeight="251658240" behindDoc="0" locked="0" layoutInCell="1" allowOverlap="1" wp14:anchorId="38057CE7" wp14:editId="63B8DF8E">
                      <wp:simplePos x="0" y="0"/>
                      <wp:positionH relativeFrom="column">
                        <wp:posOffset>347345</wp:posOffset>
                      </wp:positionH>
                      <wp:positionV relativeFrom="paragraph">
                        <wp:posOffset>209550</wp:posOffset>
                      </wp:positionV>
                      <wp:extent cx="4683125" cy="2679065"/>
                      <wp:effectExtent l="0" t="0" r="3175" b="6985"/>
                      <wp:wrapNone/>
                      <wp:docPr id="1" name="群組 1"/>
                      <wp:cNvGraphicFramePr/>
                      <a:graphic xmlns:a="http://schemas.openxmlformats.org/drawingml/2006/main">
                        <a:graphicData uri="http://schemas.microsoft.com/office/word/2010/wordprocessingGroup">
                          <wpg:wgp>
                            <wpg:cNvGrpSpPr/>
                            <wpg:grpSpPr>
                              <a:xfrm>
                                <a:off x="0" y="0"/>
                                <a:ext cx="4683125" cy="2679065"/>
                                <a:chOff x="0" y="0"/>
                                <a:chExt cx="4683125" cy="2679065"/>
                              </a:xfrm>
                            </wpg:grpSpPr>
                            <pic:pic xmlns:pic="http://schemas.openxmlformats.org/drawingml/2006/picture">
                              <pic:nvPicPr>
                                <pic:cNvPr id="4" name="圖片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3125" cy="2679065"/>
                                </a:xfrm>
                                <a:prstGeom prst="rect">
                                  <a:avLst/>
                                </a:prstGeom>
                                <a:noFill/>
                                <a:ln>
                                  <a:noFill/>
                                </a:ln>
                              </pic:spPr>
                            </pic:pic>
                            <wps:wsp>
                              <wps:cNvPr id="5" name="文字方塊 5"/>
                              <wps:cNvSpPr txBox="1">
                                <a:spLocks noChangeArrowheads="1"/>
                              </wps:cNvSpPr>
                              <wps:spPr bwMode="auto">
                                <a:xfrm>
                                  <a:off x="2209800" y="2156460"/>
                                  <a:ext cx="23622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E7DA9" w14:textId="77777777" w:rsidR="003D543D" w:rsidRPr="000C6B14" w:rsidRDefault="003D543D" w:rsidP="00FA6FB1">
                                    <w:pPr>
                                      <w:adjustRightInd w:val="0"/>
                                      <w:snapToGrid w:val="0"/>
                                      <w:spacing w:line="240" w:lineRule="auto"/>
                                      <w:rPr>
                                        <w:rFonts w:ascii="Times New Roman" w:hAnsi="Times New Roman" w:cs="Times New Roman"/>
                                        <w:color w:val="44546A" w:themeColor="text2"/>
                                        <w:sz w:val="18"/>
                                      </w:rPr>
                                    </w:pPr>
                                    <w:r w:rsidRPr="000C6B14">
                                      <w:rPr>
                                        <w:rFonts w:ascii="Times New Roman" w:hAnsi="Times New Roman" w:cs="Times New Roman"/>
                                        <w:color w:val="44546A" w:themeColor="text2"/>
                                        <w:sz w:val="18"/>
                                        <w:lang w:bidi="en-US"/>
                                      </w:rPr>
                                      <w:t xml:space="preserve">Natural persons holding more than 25% of company A’s shares in the left column are the </w:t>
                                    </w:r>
                                    <w:r w:rsidRPr="000C6B14">
                                      <w:rPr>
                                        <w:rFonts w:ascii="Times New Roman" w:hAnsi="Times New Roman" w:cs="Times New Roman"/>
                                        <w:color w:val="44546A" w:themeColor="text2"/>
                                        <w:sz w:val="18"/>
                                        <w:u w:val="single"/>
                                        <w:lang w:bidi="en-US"/>
                                      </w:rPr>
                                      <w:t>beneficial</w:t>
                                    </w:r>
                                    <w:r w:rsidRPr="000C6B14">
                                      <w:rPr>
                                        <w:rFonts w:ascii="Times New Roman" w:hAnsi="Times New Roman" w:cs="Times New Roman"/>
                                        <w:color w:val="44546A" w:themeColor="text2"/>
                                        <w:sz w:val="18"/>
                                        <w:lang w:bidi="en-US"/>
                                      </w:rPr>
                                      <w:t xml:space="preserve"> owners</w:t>
                                    </w:r>
                                  </w:p>
                                </w:txbxContent>
                              </wps:txbx>
                              <wps:bodyPr rot="0" vert="horz" wrap="square" lIns="91440" tIns="45720" rIns="91440" bIns="45720" anchor="t" anchorCtr="0" upright="1">
                                <a:noAutofit/>
                              </wps:bodyPr>
                            </wps:wsp>
                          </wpg:wgp>
                        </a:graphicData>
                      </a:graphic>
                    </wp:anchor>
                  </w:drawing>
                </mc:Choice>
                <mc:Fallback>
                  <w:pict>
                    <v:group w14:anchorId="38057CE7" id="群組 1" o:spid="_x0000_s1026" style="position:absolute;left:0;text-align:left;margin-left:27.35pt;margin-top:16.5pt;width:368.75pt;height:210.95pt;z-index:251658240" coordsize="46831,26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n873IAQAAJ0JAAAOAAAAZHJzL2Uyb0RvYy54bWysVs1u4zYQvhfoOxC6&#10;O/pZ+UdGnEVix8ECaTfotg9AU5RFrESyJP2TFr0VWGwfIL30UqDXHnvopW+TzWt0hpJ/EhvYIK0A&#10;W0NyOJz5Zr4RT1+v64osubFCyVEQn0QB4ZKpXMj5KPju22lnEBDrqMxppSQfBbfcBq/PvvzidKWH&#10;PFGlqnJuCBiRdrjSo6B0Tg/D0LKS19SeKM0lLBbK1NTB0MzD3NAVWK+rMImiXrhSJtdGMW4tzE6a&#10;xeDM2y8KztzborDckWoUgG/O/xv/P8P/8OyUDueG6lKw1g36Ai9qKiQcujU1oY6ShREHpmrBjLKq&#10;cCdM1aEqCsG4jwGiiaMn0VwZtdA+lvlwNddbmADaJzi92Cz7enljiMghdwGRtIYUPfzzx8NfP5MY&#10;sVnp+RBUrox+p29MOzFvRhjuujA1viEQsvao3m5R5WtHGEymvcGrOOkGhMFa0utnUa/b4M5KSM7B&#10;PlZefmZnuDk4RP+27mjBhvBrYQLpAKbPlxPscgvDg9ZI/SwbNTXvF7oDGdXUiZmohLv11Qm5Q6fk&#10;8kawG9MMdoinG8Tvf7t7+PiBpIgK6qNKs4FiQNeKvbdEqnFJ5ZyfWw1VjfkC7fCxuh8+Om1WCT0V&#10;VYVJQrmNCxjwpIKOQNNU50SxRc2la+hmeAUhKmlLoW1AzJDXMw7VY97kUEAMqO6ghLQR0nk+QBFc&#10;W4enYzl4RvyYDM6jKEsuOuNuNO6kUf+yc56l/U4/uuynUTqIx/H4J9wdp8OF5RA+rSZatK7D7IHz&#10;R8u/bRQNsTxByZL6NoDAeYc2b+8iTCFC6Ks17BsAGfRAdoY7VqJYAJDtPChvFzzqO6AxJRbYQmar&#10;r1QOaNCFUx6M/8KWbc1DSRjrrriqCQoAPXjqzdMlxNHEtlFBr6XCAvCxVPLRBNjEGe8/etyKEAAy&#10;Hxqy3dQLjJ4HOrbjY63sXUk1By/R7I4B0BSanvPp7sP9n79+uvv7/vdfiO8OrSK2HeLWFwoaSeyj&#10;tPoJH4xRq5LTHDxsOLG3tTnwWdlIkigbRPCNwC4Vd3tpr/06bPpY8qoHOqCAfSztZnHkHX15Yqyq&#10;RL4hpzXz2bgyTYlO/eMJDnW2r3Y8g76YD3iWxUkaXSRZZ9ob9DvpNO12sn406ERxdpH1ojRLJ9MN&#10;z0qR51xeC8n/B5qtRkHWhY7v6bPv/aMgI/8cC7IWDi4FlahHAWQEHlSiQ0zypcy97KioGjnENrFz&#10;f0PpzbuhNpZEU+EoufVsDVZQnKn8FirMKCASpBZuMiCUyvwQkBXcCkaB/X5B8XtQvZFQYFmcpniN&#10;8IO0209gYPZXZvsrVDIwNQpcQBpx7JqrxwIa5LyEk5qSluocWkQhPHl3XkEIOAAWesnfAXxY7X0F&#10;Lxn7Y6+1u1Wd/Q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O7Qc0PgAAAACQEA&#10;AA8AAABkcnMvZG93bnJldi54bWxMj09Lw0AUxO+C32F5gje7+WttzEspRT0VwVYQb9vkNQnN7obs&#10;Nkm/vc+THocZZn6Tr2fdiZEG11qDEC4CEGRKW7WmRvg8vD48gXBemUp11hDClRysi9ubXGWVncwH&#10;jXtfCy4xLlMIjfd9JqUrG9LKLWxPhr2THbTyLIdaVoOauFx3MgqCR6lVa3ihUT1tGyrP+4tGeJvU&#10;tInDl3F3Pm2v34f0/WsXEuL93bx5BuFp9n9h+MVndCiY6WgvpnKiQ0iTJScR4pgvsb9cRRGII0KS&#10;JiuQRS7/Pyh+AAAA//8DAFBLAwQKAAAAAAAAACEA+uI+8YVqAQCFagEAFAAAAGRycy9tZWRpYS9p&#10;bWFnZTEucG5niVBORw0KGgoAAAANSUhEUgAAA8YAAAIpCAYAAAEX8xG0AAAAAXNSR0IArs4c6QAA&#10;AARnQU1BAACxjwv8YQUAAAAJcEhZcwAAIdUAACHVAQSctJ0AAP+lSURBVHhe7J0HfBzF2f9PXXJX&#10;uZN7x8bdkq64AMIG90axbOuK3IskGwPGNINNsyXZ9JQ3CUlIzxvSIQkthCRv6p+QTighoZgkpPeQ&#10;EGD/z2925rS3mqu6091Jz/dzv8/Mzs6W2ynPzOzurKO/4A10XuoNdH2/t/IFT/nkLrOGN9gxLx2q&#10;8988Qe4y/zlnx43GVW87K21aEDppyF1HoIvbG8ndRqCL1xsFjgS0x8k7dH+ut5K7jkAXrzfyBrv+&#10;K3ctQC2ii9dbyd3nN/Y/5Vs2xjh812KjemSFMXREqQgrH1Ss/nA4XujQXOFevGeGccWdi8LhkLnn&#10;SKzrVzZPNbYcmG1csONMsbzjmrrwOqi0vCjsP0z7LiopMIpLC40lF0wMh9trDHsiY5vZXpfwD68u&#10;My49tUD4KWqECw0eWiKW8T+vuCP+f8k7rH8IQiKvDk41Wm9yR4QrrQlNEy7iFBQWCH/rTZ6IOHLX&#10;EVjXz11YK1z/pXONs9dOoP2YF3zMlKHhOBBtFvZPnllpNO2bGV6Ol8hQ+3Fv2H/5bQsj1lXVVoj9&#10;QyqREa5cJVrOf6x/KF2Su45AF683SiSRD3b5jODlcw33uaPFclOrmUnab+lO/HiSuzd5w+H4GyQX&#10;HW85HGPgUqwG8l8kAnMQ3R/rreSuI9DF640SSeR0SO7e5E2H40lILoahsD9RzCa5mHPo/lhvJXcd&#10;gS5eb5SVRNZBJfgIaQrpEhmUc+j+WCK67FSkjbNK7joCXbx42nWkPupxciaR8wHdH4NoVdgfIrtm&#10;XXfw5AJjzgKXMW7q8IhwJXPPkejiNV8yJ+wfNXFIxLoJ00YYe442RJyHVckkMq0WbsXgYmNGvdOY&#10;OH1ExH7R0ld+u8TO8501By7V/rlUZb/4Cl3c3sgbPLFf7jqMLh60aOU4o2bUIGPfjW5jU9ssEaaW&#10;L9w1o0d8q+Su8x9vsOtPSJxYamo5pA23yhvofF7usge+0K1nLQh1Gsv2XdtreQId4QaulenrDw/V&#10;nVeqkrsdOLyyf1Cf/Om+OE5f/Ze8oy8uzMvt5b99oc0xUi5mjNPtFa9JL2Olr3L/6bayLunNGJzI&#10;UeirRKbS/APpzRicyFHos5LcBwnAicwwDMMwDNOfWBDqMtBa7QslMjzX0HRsvG7bTOjHba6457M8&#10;dFS7bSaUkeFLb6BzrO5gSj/bXSF0z6pSsdxWX4yTMGbWFPSIq4T1unAlceAY6LZRenBzudHRWCLO&#10;SYXRJsJtp3NTYdbzU+uj6cod/qjnhIuu28aqhzaVC3e+K/o1gWh32nC7zCOnEdwS0x1IqbjAIVQg&#10;T/ClNvPi/mB790W264GNZdpwJXnoqOi2UfpqoDx8TlhGwk4eXmBQX5PUHW/n3O4E/8muCmPJhMLw&#10;sl1f2TetV4kMUVThzqwuMGoHRSZmqywYKk484bhpJV4if+aiMqELpxWJZSTu/gbzAlaVmye9a36x&#10;UVxo+mmXxjULS8KZQSfzyNHRbaOERFbnhOVftlYYT2wzS1Is0W614VA6EtmuSnltINqNUZiJRH7D&#10;4fjOWw7HGXIxDIWtI/nlYtxEVkI1bV1uml4sqsRvhLovcFlRev6Ebhul+221BEWPWH5md/wEtyud&#10;iYzE1IVDg4rTnMhvOhz/huRiGErga0hH5GLCiZxOyUNHRbdNJpWJktwbyUOnj1QTmTYV7qThieVO&#10;q8wjR0e3TTR9eF1kyV420bS9tJuI8FjKRCLTpqKd8CKZLWVaEpV55DSSbCIr20ybht0PrE3vn9Bt&#10;E00UPXwuajnZi5quRH5iW4XhHmm2sGlT46oFJVQIYre4dTKPnEYamju9ugPp9OkLuy8ebRp2oe/H&#10;aG3bhePGQrdNNM2jbgtt0iMcDTR7WDQ9vG9G1HNKtiTTJhHuBWeYhSIZiQOnG92BMiV0c+Rho9LX&#10;dtAX6PqpPLQW3TaZ0mMxahUmx1h53SNvl978ZfXRRw1ILmadXDufFdc98oPlxx6qkotMfwSJLL1M&#10;f4UTeQDQbxJZ2UGWXvIyMQzDMAzDMEwfg/HqDTc+llV5/V2fkKfDZALdRe9rLdp2B3d7MonuosdT&#10;w8YjEcvrjj4Usaw0qHKUNtwuTuQMo7voOtVdcDjsp82Eu6T9/cItLh8cXldSPkQIcVS8eOJEzjC6&#10;i66TLpGhkoohEWFw11z7gLH+hi9zIucKuoveG9EujcqxM41ll3+cEzlX0F30RDWtMRD2D3VOiFi3&#10;6urPGuXDXRFh0ZQ3iUxnaeS63nQ4bpCnG0Z30fta6MbJ02F6CyXy49Ibxuc/sVl34ftS8lTyhhKS&#10;y/QK7pGuk/Rt0+s4h6TueY63uJtNb+bQJTKTGsOla+db0n2a9CuSm6SeRbpDuhmFE3kAwImcPvZJ&#10;F0yUbjLYEwKToi8nLSH9GAEWHpZuQiSSyN5g1y+kl0mAFaQnTG8EEV8/kQySLriXhOVi0rMIkDSQ&#10;vml6w1wg3YRIJJHR0o01ASoTSbl0cwaVyEjIWEKL1xvo4ITOR1Qi27sw0eTxd/1cbBgFpyf0W+l1&#10;uNyhH0qvo9bXYgyeGwz3MqobQhuk11HlDcysatiyTCxMXTlMuJIaj/8RuLTff2Ef8MOtcYc+Cz/i&#10;D2lorhF+wukNzoOr4ta4m5MyX72hQrozSSHTG8Fl0rXyonQBbG9GSDaRz217X48+bI038GiNO3AQ&#10;fpfHf8jlDbwu/N7QW3BNGstdvpa58NV4Ao863aGLnJ7AV7Fc7Q78CC5weVt+Lb0CpycopkF0eYO/&#10;iUhkb/DL8INqT/AbcF2ekDB7WO/yBD4Nf029HyZN4PSG/kH76ZCLaUdVc38gqRxcIF3wgnStqFKQ&#10;0el/k0lkXQLTRXuHeVFbdskgh2PCVmGWnDObhlAifV6EWZm7bLD0aan1hN4tvUj0JygRf1HjCV5n&#10;TSCV4AB+Z0PoLKfHP18GRUDbfUm4ntA3yf8XETiQSLThpUtgJhJrN0eNaCUKcuFTJPsLW3eSlBlI&#10;mUQTWXq1kL3U7oNKzWWqxDnnB+dV121xV80JjK2qb1lOVXm4RNV4Qz+RXsfgyRe6KuuaF8Jf6d40&#10;WwTmCapvfL50ARJP2K4k+Zd0QSp97ggSSeQECJseUXV7g8KuOr3+JygDXC1WEGS71Qgf+Vv+ITwN&#10;aweNqPfPEX6q3qlKfa6mIfgZLA6a2ZTxmeoHBGlK5OjMbCqFQ42x34hlibPBv1h6BdTCHiu9eYu1&#10;9awrfc9IV8c/SY+SUIWdiwBiJwm1Am5s9IqMJ/IA5GKSbsQrHu8jof/5fpLVTnmkmzKcyOknZtch&#10;G3Ai9xJcwHyQPF2GYfot3kDX99MhubsscqzQG+yYlw7JHfYPdB+h7I3kbiNYEOh6QRc3VekGbhCm&#10;i9sbTWg8lnN3FJPG5+/8je7P9UZy1xEcOLVcG7c3krsOo4vTW8UbBcwLrIlcVVsR/nMTpg83iksK&#10;w8tKtIlwD3T4wsvbrppvXHHHImucHqh10MrmqUJq+UCHV7iX32p+DLv54Gxj8NCS8PrS8iJjptsZ&#10;XlaSuw5jXTd60lBjzoJa4S8sKjAuv63nh7aHVpaG/RftMT+vu/dYQ8R/6deJbNXgYSXGlNmVxu7r&#10;641D8gLQpsLdeW298F8mE0iu64FaB81dWCsE/5V3L44Ih0vRw2HW5bPWjLeHR2BdN2lGZdi/rGmy&#10;sWzTlPCy9Zh20W6MIcO7E7/fJXK6JHcdgS5ebyV3Hca6bpbXFRH3YJdZ8ySriER+ixqo1Bd97A2H&#10;I+LjzRQD32sP39DONfprIqdL9kTGd3DwOsq7ZJCAwudR2MflYs7BiRxbEYlMJfhHSGRK1EUyKAyF&#10;TZHenCORREbDCqoZ1W2z49i1HujiWbX96jrRmKOo2vU6mXvuRhent+r3NplWhy/6jmvqwmFqfWGh&#10;PkGwXzu6eEq0WriXnlwgXGurftLM7gaUXeaeu9HFgdZtnW7sOmI2EB0F5rGKigvEvhF2+K7oGbZf&#10;JDLQ/bneSO42gkUtJ7RxU9WVd/c8zpJd10eJu1h0jWpGDYoIX3LhRBE2o6Gmxzolb7Dru3L3+Q9y&#10;bDokd6cF65ftu7bXinUc67n0VpTAeHdt4IBp/F9qr3hZLmYMHEd6MwaO8as9EW+uMH3J6bYK30tt&#10;ZdvkItMf+VnIUS29DMMwTP/k5baKgdUaHohwIg8AOJEHAJzIA4AcS+RjhepjkJnWyyR50JgsDnVo&#10;t8+EMGQoD6vFG+y6SbddJvTe3edkZoRNdzClL24qNzoaS4yf7e7+bC5tItxtc7o/GYvP3iv/4/7Y&#10;3y5+sm10zD/iC3W9XbedEs4F+pD8OPaVvmJxTtZzsGrLjCLj7HHmh7OjyTyyHl18uyrLHcaDm8zz&#10;oU16rE9G8TJdSugOpIRvEBcXOISwvK+u2JgwzPzCNz6Rq+JtPLM7wWmX4k+rZZ3MI+vB7UbdNkrq&#10;fArlOb1E5wL3B1G+30y7NGZHyQBK5pH16OLb9emLyoxxQyOPQZsKd66rwGitL45YF0srW47GPJ+U&#10;0B1ICYmMr4qrL4s/v6/C+E5L7I9PX7OwJPwHo8k8sp54iazOZ8cc88L9v63lxo65pn9EmXnc0Oxi&#10;o7jQ9NMuhRtL5pH16OLbRdHCx1Gubl0iSjiR33Q4PviG5tVU2ho3Ps+SiwLdgZTu3xhZ9VL0iOVn&#10;dif+tXGrzCPriZfISjecVRKx3DS92JheVRDxBfSyosQurjy0Fl38RHTbeaURyzefE7kcTUklMsXE&#10;M1706+Yth+MM0jVyUaA7UKYlD60l0UROp+ShtejiZ1J9Xl3H05LxZoOGdtNjXSyZR9aTTCLPrOlu&#10;UNGmwq2UVXYyMo+sRxc/nn6+16xNaHPhfnR97MaoVVlP5OF0AWmT8DL8yl4nI3HgKCSbyCU22wv3&#10;nlXJnZM4cBR08aOJohuftVyPe9eUhs8rUWU9kX2jC7UnbbWD8XSaZB5Zj7e569e67XRCIqtWPm0a&#10;dqH/CyV+TjhuNHTxo4miRyz/cEe58ckLy3qEx9KiUEfM80kJ9Mt0B8uUfMFOahbERrddpvRS++CY&#10;F/Ws0AntdplSfeAkZiLODXLtI9D8UeoMwIkcHZzLyiMPf10u5i+cyAMATuQBACfyAAAXlRVd8jIx&#10;6YQv7ACAE3kAwIk8AOBEHgBwIucBuo+M9KXWHXuEM0km8QVP+XQXvq8lT4fJBJzIA4BkE7liRK02&#10;XKmwqNgoKR8ipFsfTfJ0mEzQm0QuKCqJWFc6eIRw11z7gLEgcCJiXTzJ02EyQW9L8qiZ5wh3gntd&#10;OKxy7EwhtZyI5OkwmSDZRC4pHxyxvJpKrXXZqtJBZslORPJ0cps3HY436EyNXJc83TCels5Zuove&#10;15Knk9voLmC+sGj7ndoL31fKyDtImcCSyI9JV6H7A+qLLvi+gfqGoY808L4Qmk9YEvkV6dpxSheo&#10;6YusX2xDIt9mepmcxJLITH8lSiJvJakPOX9OurHAR6Hx7C++hN6KAAm+1YgqHqV9NQKILaQiUolY&#10;YjKPJZHxKfdXTa+YxDxicnPil9K183uS+gYRZri/zvSGuZf0FRI+tfsFBEjEV07TybqjfMNAiyWR&#10;i0ljTG9usiDU1YgWbTShxbvu6MOc0HYsiZzzIJHt3RidoiW0s27LSrhV7uDF+Eh2+OvnnuDKGk/o&#10;O/C7GoLLVLiV6obQDbVzgy65GP7YtssTOOX0hPC1d4fTG3jJvq3LE3qjcm5wNq37p8vT8n1yX6/x&#10;hlD7OWrcoV+OqPNPEBEt0LFQ+6UPOiN1Uph55s+mV9hQVZ2qr6D/Qrp2ykiorjP+8ehEExny+Tt6&#10;fhxl+vqhcFzu4HPV8wOecCK7Q/+qcftXwV/rDfzP0DMvUL0IS2KG/NIbQY03+LtKT2ihyx16DhmF&#10;MswLItwdOIr9uHzB19Vxq+Zt7FFTOr3N++EOqwtOFQHE8HkbRkhverAk8q9Iyo/PwOPzb6jCAcKj&#10;fSD7EtJuEi5qIwIyRaKJ7And4pabhKn2BG5weUPvpNKz2en2/wxhSORqTzAAv0u6jglbw5+9q/UG&#10;30OJ9U65KOJLr8M5f5NohyCMEvdyEQgmNJa7vEHxIn9lg38xlfIn4a+pD4xCXKfHP7+qLjTD6Qls&#10;HT7HX0nu7VgPqhuaz4TrnNk0RASkC0si5z1I4IbmW7xykVFYEnkj6a+mV1TXChUWC1TVsEsVpOMI&#10;sPCUdDNOffCE9bwjoGr0RlfdlrlyMaJUWv0ub8te2GX4qRS/QPbzHyLcE/wV6Tn4AVXfooTmBZZE&#10;RnX8munVdm+qpKtjnXQnkrpIqprPGWq8gW8Nqds8o6ohKGygFac3dBeqctMf/LcIJKgq/4bKACPq&#10;/XNEIOF0B+6yZIwC7Fv6cxNLIg9syJZKn6O63o9BnR5UNoTGS29+ESWRt5Nmm17H/0r329K1c5KE&#10;kns+CWPa9ndsH5Uuky0sifxjkhrx+hTpA6Y33I2IlsgHSZNMr8NDUneqFO+TLpMtLImMseRpppfp&#10;VyCRqVP3eK5Lni7DMEwO49vcOeOcHTdpv7eYbeHmjzzNhFkQ6HqhcecNRlvnGu0+s6HNV+1I+r8g&#10;/v6uldr9ZVvn7LjR8AY6dshTZbKN1995jS6hcknIzPJ043LuzmPafeSSvIHO++Tp6mnYU3LJrcu0&#10;2+aaUqlomQyA6V91CYRPX5dVFAn/odsXhcOHjig1Lto1w1i/bboxaEhxOBxyjRkcsYwvL8f65vtl&#10;pxaG/eoT3/gctwqzSp5uXHTbKuGc7WFX3GH+t7kLayPCD8nwTChe5serG7rtlA7f2fOaXnGneb66&#10;6229zukWF+QcIVpBrqqtCPt9y8YI94y5VcbGfTOFv+7sUUaFrSC33uiJWB5RUx6uDKxqajX3gcyn&#10;PqG+kcJcYwcbJaXd3+q3Sp5uXHTbQtUjB4Wlwg50+IzSMvP8Fq4YFw6HNrfPjviOP+06Yj00fX6N&#10;sfSiSeHlopJC4+y1E0TcwsKCiLhW9aYgT5pRabTe5BFquXKeCFMFFZVs6NDciPhQcUnkuai0pUMJ&#10;N3RonvAPHloilndSZdp8cLZIj5pRFUbtuCHhbe3igpwjRCvIRUUFRjUlOFQxyCyw266aH15fM7Ii&#10;bM1GTohMaNptxHI6ZJ5tfHTb2qWsVsM5owzPkjHGlbLAIgPDHeEsD8ctKOz+L9X0n3ddH9liGF5d&#10;Zhyk1sQougaQ1Vpi2RpXqbcFWfnbj3uFe+j2hUbg4BzhP3vNeGOWxxWOU1pmVozrtk0Lh9EhItKo&#10;oXGUWEZBVuvwXy/cdWY4Pgq1im8VF+QcIVpBzjXJ042LbttcU28Kcq4p6n95y+GYgHs+bzgcT0j3&#10;UrkqKhTv09L9jAhgEoYLct9rQBRkBa0VEaggax9JpJXht9WoAP9a6k8yiEkQLsh9rwFVkJm+IZWC&#10;PNvnov7fUOHfc6whPKp92a3myHPbTR4xiHTZqQViXe34wcal5EdfEuF0WKNiiDmwkqjMs42PbttY&#10;ok3C/jkLa43lm6eIvjLOG33pwqIC4Rf9yAKHMW/RSGPCtBHGBTvONLznjzHKKyIH/BJRJgsyRv23&#10;Xz1fnHPbzR5jdeCM8JjAgRNeY9d1kX18xIVLhxWudUwgEXFBzhG8wa736BIolopLCo2y8iJjhtsp&#10;MsBZq8eHR5uxrOKh8MJ1jen+gN2h28wR1mGVZdoRVp0uu+28hDPLvhNrtfuIJtpEVEZwMQqvCiaW&#10;rfHOvWCiCFNCGP7f2pZpxqQZIyLixpPP3/VP2kdU5jd3naHbLpZoM+GiIKOiVeElVHHif9WO6x6s&#10;QoEePMysSNV2KOyH71wUHkBLVFyQc4gFwZPvCBwJaRMq21rUcsJwNB5L+IWnhuaTLa0dufNEl12J&#10;ZvwFga5rd954sXYfuSIuxP0cfJ1TevOeX7WXflB6857+lC5MBrmvyVH0cnv539WndmVw3nK6rex7&#10;r7SXbX9pb9Gyl1rL8F5eXvLS7rIpL7WV/+h0e8VrXJiZhOlPmeWV9tJpp1sHrZGLeQ0KsvQyTHz6&#10;W63/yv6KfvEuKxdkJin6W0F+ua3iJenNa7ggM0mBgszqnV5ur3jjdFv5n9Opl1srcnv6L4bpb1Ar&#10;AHMIMwyTz3BBZph+ABdkhukHcEGOw4KNt1XM8XdU9hdN2HosPC12upgbPDVYd6x8lcNxrFD+tV6z&#10;aEfXUN0x0q0XWwc9qwtPt+Tfyh8WhLq0o4OJqrrCoQ2HTrcPMj68rjS8XFoYPS6dija8t0rHc6/r&#10;Wq7R7jtRjRsa+7+9a2V+XqOpK48N++Duxdp9plun2yu04Trdf3GZNjwV+YKdffZllpTBa2G6k09E&#10;Xw2U9whrqy+OWF42sdA4uaTEoGrfWDO10Jg6osDYOqdIm7HLi/SZlE6z1xlY/NkUweuMun0mIt01&#10;uuGskojlxvGFxnWLio0C+o/LJxUao4Y4xDWqHdTzP+M62sPoFIX77ZbylK/TV/ZNS+kaoQLQ7S8V&#10;0e4iXOhlW+G1roPOHVdojCh3RGhvXXHK10GnlS1HU7o2fUomC/IH1phW5pIGM4wOJ9zd8yILO7Rm&#10;SqFwX7Il3P+sKDEumlZkPL+voleJI/5simSyIH9wrWk5dsprQocT7kF3z2vUNN28Ri+26TP34/78&#10;LshIa1RmqoW3eIz5f6FvhiKvY52rIOyfQsYhHF5rbkOnFg7rrTJSkN9yOFy014I3HY5PkD/W970Q&#10;d41F2u9TZtoiL6TEgKWA/15ZsCcP777w0PCyyItOpxX2FxV0+z9CTfRhpaklkPlvUyPTFtkzstB4&#10;YptZOD99oVmw7ddoqO1/02mF/bgmZdSagaxxklG2C/KWGUXGXKf5n28/r9SoKDb/izIC0HN7K4yb&#10;zy4xBpfE/590atrwVJSpglxGezXgksZJd7VVVMj/KOPOI/+NbzgcPyT3HWIHNnpTkPNJ8u+mRG8K&#10;cr4oFyxyriojBZkK5R9RkKlgfpb8+ICyFirEtXAp3t+ltM+SckGODxfk6HBBzhEyXZBfsvTn6HBC&#10;anns0AJjZk36+zQ64b+mSqYKMv77h9eVxbxGo4cUGN5Rmb9GuV6Q799YZvhGF4avgWp6Yxl3Root&#10;XbB0a8AX5NWTzQsPqTCrH8ItBSQCwnUjsukS7T9lMl2Q4afDhMOtfijiGmUow+ZiQabd97gW9uWa&#10;ChTkCjGWYl+XLuVFQQZf2zdZ+wd6K9q1GKTBSCSWkQmVsGwduDqzuiAcL9365B4xgVzKuDd3LtLt&#10;t7eqry00frrLHI3/Pzkqa79GyKgq/hxnYcauEQqk+W+Tw9fc+Vfd/nor/M9ftg4yvhEsF/5Ht5T3&#10;uDZ0+Ij4e+f3HOlPh1K9NlnBFzj5Jk54x7b2fiP8H2+g49/yL/YaX7Dzrf50jbZu3S+vUdd35V9M&#10;GeynP12bDS1Xi//j8XetlX+RsbL66Jd3rj76qLHyyJfOkkGMBb4+scG1geQik02QEAsu+0SFXGRs&#10;8PXRs+rah3+64rpHfiD8Rx7hTyBlG65RY8PXJzqqIDM5AGfU2PD1iQ4X5ByCM2ps+PpEhwsykzdw&#10;QWaYfgAXZIbpB3BBZph+ABdkhukHcEFmmDSgHlfNlpZc8hFteF/J6+94UF4Khsk/pjUfq1l/w5eN&#10;DTc+NuCFAi0vC8PkF3ilU5epB6IWbbuDCzKTn2SiIM9bf7mx7uhDQuXDXWE/Ha5HXGvY+Zd+JGJd&#10;POn21xtxQWbylkwU5Em+DYZn8w1CpYOGh/10uIh4Q1wTI5Yhe5xYSiZuIuKCzOQtmSjIBYWFRmFR&#10;sRAdIsJvjztlUVPYP9l3YcQ6Jet2i7fdpg1Ph7ggM3lLpvvIFSNqteHQoKoxYf/ctZcaZUOqkiqc&#10;ycRNRFyQmbyFB7u6xQU5jdCV5IuZJt50OB6X3pgs3nm3NmMPNPHtpzQSoyDrvjAxhPQl0xvmSuna&#10;GUn6gukVHJXuG9LtdyRakBUNTZ3jfZs7Jg40eUInquUlYNKFpiDju7AFpOFiqZtrSJisfrtYMjlG&#10;utX0Ih8LBpEeIP2ZZH2vc550rUwgrSJNJN2LgHwm2YLMMGnDVpBhhdU8Tr+Xbix+SBpjerX8R7pA&#10;Hcf+faiPkXDcRaSXEZCvcEFmsobGIjMpwgWZyRqagvwLUhHJ+h2nFuluIv3a9IZRTWrFfNJNpjcu&#10;T5K+bXrDTW803b9legVXSfd20iOmV8TFB+Pscb8n3Z+TyklrxJLJYBLipu3r+XbSVZDFSwXBLqQD&#10;wySGpiCrgmUNv5mEgoOCsgcBks9KF4VXFTLQJt1E6JCuvQ89TbqqIKPvjQE0DJQ0IMCCiqtAHBTc&#10;PiWdBRmjuuuOPozJ75+XwQwTHU1BZlLEWpAXhLoa7bdbUhUXaCYuMQpysXQVs0iwiJvFUjf290ph&#10;0ceb3rjcIV2gLPJJ0lOk94ilPCJTBVkJBdrj70K3ISpOT+jqWl+L4fQG/lnlDcyUwQKnN/QPlzf4&#10;OtZDCKts8C92eUJvUHzx2ZsadwvuRAhcnmCg2hu61+X2T3a5W/4qgwXldX7ccaD4oX+JAEmtJ3R7&#10;1byWHgOgTnfwKziGOi6ocvvPp3P6T2V98wo6h7eRwp/wRVw6199I980aT+BzCK+evn6o2ofLE/ii&#10;yxv4DfwKCjtV4w18q7rBv0EsewMLhOsOPlxVH/TRf3rFMXZjRU1D4KdiPw1r0dJz1NQH6p3elpdI&#10;76nxhiIGesW1mbC1nPbVKYNyD01Bxu2nH5Fw+0iBQo2+JUaX0fdUqOarao4Dqz8euoIMsN8ppjd/&#10;yGRBPrftfYYndItb7j4qVBj+C9daYBRqnWPqyjLreldD6F5Hw54S+J2e4EoRqKC40hcBZerX4Trd&#10;gbtEgKTGG+xw1reItHN6tqLiF3Gpgnmc4r4XywoUrBpPy6PkLRrhbm6kAtt9u3JmUykVfqokGosr&#10;PVvC54T/oM7d6Q2+7PL6w4akYt7GcAVCBfZvcEfUb5wjl/9OhfxD8Pe8Nk1Fzobg11BhDKdKSwaG&#10;ocrqVbi0XnUDcw/6Rz0SnEkNe0FGXzdVWQuwO3DCI3fLMHqiFGRd8w1W2T7IpGML6TumNym+RsLo&#10;OI6DZrziCelawag6sMfNKukc7Dq3/X1GQ/MtXhmUHGg6ukP2LlBUqNn5vaqGFnVnIkxlXfNCuFUN&#10;wWXU3PyJCAzTaO96hSGr2ePpPWqeLheuJ/R5EcCkF01Bxm2nT5FEc0KymPR9EppRlyLAwiXSTQU0&#10;00UfRaKa7WhC3klaSno/AoihpIimmUTFzTrpKsj1wRM+6U0JND+d7tB7q+rN/qEVah6KJnEEc5cN&#10;RnOT1qEyDTPc459P+/q7vSlKTeUnKPxT1Z4t7uHzNk+kQnofwhGPmubvUn1k23YFVZ7gx2j956mJ&#10;e70ME/Rs6jJJoynI7yMNI/1OLJk8TMKjlNZa2NpXBmOlW0pK1EqicKq4yLyQ6neLwQoLWFdPwqOj&#10;yh8tblZIV0HuDVTIPo2CTBb0y46GhhLqZ15shgfDg0KD5wZdKDw19f4GDAyJAuj1i5aPvVChf1vr&#10;DeH2owKP78LCPuHytRwcNnNj1XDfZjxia0J9apcvdJ/LFzglQwR0Ht+jQvyC8Nc3rxCBRK03uFN6&#10;xbGpj23Nd0yiaAoykyK5UJCZAYqmIL9Iwgim9Sv8zdK9iGR/4ojybwTJjFrjK/YnTK+w8NgXamjr&#10;Pr4p3ZdIaOJbscfNKlyQmayhKciqYFjDryV1kb5Osr799EXpYlAG/WqA7d9teuOCpvoh0yuolC6w&#10;P621i2R9qsyKPW5W4ILMZA1NQWZShAsywzAMw+Q7vi3Ha32Broe8ga7v54RCnfc6HMcy9qZYvoAZ&#10;TbzBjnm5JHlqTC6Bhz8O3dFoXPW2s3JKwSNBwxfqOi1PM0GOFeL/NF+zTbvPbKitY41xzo6bDG+g&#10;8xvyJOPiC3Qeadx5TLu/bAv/B9dYniqTbXzNnX/VJVSu6OCt5xkNm47b7xJEZWFLh3Y/uaBDdzYa&#10;Hv9J62u2WuqCJ6buuLFJu49cEhfkHGFRywltAuWSEs0sXv+Jb+q2zyUtCHXF/S/4v7ptc017brmA&#10;C3EusKLtSm0C5ZISLcT5kPl3J5Dx86UQQ/KUmWwSrRBfefdibXjrjR7jijsWGftudEeNo3TpyQXa&#10;cKW2mz3CPXxX936sfqV0FOJ5i0f2CCsbVCTci3bP6PFfascOjlhOl1o71mW0EB+6faE2PFOSp8xk&#10;k2Qs8eDhJUbL4flGaXmRMXREqZBat+8Gd0RcqO6cngUneNlcUWDOWTfBCJD/gh1nGqMnDjWGVZUh&#10;Q/SID/W2EJcPLjJWNk8VOrO+Jhx+8b6ZRvmgYmNz+6wehbjSVR6xTLs3KgYXR4RZ10Hwz/a6jD1H&#10;G4zKmsjtlXpbiOcsqA1ryPDu618zcpAxduowcS3HkWvdxqpZHqc41+1Xz48Ix3nDxbpp86tFZQq/&#10;CrPGtYrWMdkmmUJc6Sw3ZrqdxvarzAxgtZo1owcZF+w8M7yMTAbXXhgu6fT1yBw7j9QbqwJnGI3r&#10;Jhrb5L6t6m0hLiwsMKopk0ODh5aIsO1X1RlrW6YJf0Ghw2g/7o3YpnHDhLAfFZRqNVhVVFRAFVmZ&#10;8JeWmVZ9eHWZNq5Sbwtx602esGbUO0XYjIYaY9HKccK/ftv0iPjQZbd2W2fXGLOFMXVOVTiMDinS&#10;z7rcfMkcI3j5XGPZpinhcJ3ECTPZJZlCvIEK6bR5VWGrNXehWVCVDlABVX7adYQLtRyeF67hBw0t&#10;NnZeWy8KyJUU1n6LV1j4goKetX5vC3FJWaE4V2gUWSoVft7Fk4xzL5go/DgHFY6uAtxD1G0QLjVR&#10;F682C4lV5108WbjNl8w21m01KwSo7uyRZPFcxphJ3cdSSmdzWhXi1pvcVODmGItXjRfLZXQdVZxp&#10;86qNyTMrw8uqEK/YMjUchsKqLPHiVePC6Yi0arvFQwXZ/J86yVNmskm0QlxdWxGWCkNTbelFk8LL&#10;g4YUUwY3M7rSSsocDY2jIsJ6q94WYjTVld96/kpoYXiWjBF+a+tiLywwZWL4z1oz3qgZ1W2tIFyP&#10;5ZunGKMmDBFquWJeuIsxctyQiLhKmSjEqFRREFW4ShOMXaiwsZPNJjYKMR3CqLKkq3UZfgj+4XTd&#10;Dt+52HCfGz09KS6TbZKxxNlSbwtxLimdhRhWE279OaPCrYbzN042Lt4zQ3RRrHEha6FOl+QpM9mE&#10;C3HfKp2FOBckTzmSNxyOv0FvOhz/kW7EzA3gLXNCd8T9Pe2lQYniWmeGYBKAC3Hfqt8XYiqci6lg&#10;PoFX6yDyY86tqNB6MRUM7WkEbRvtU6lMDLgQ960GiiX+LRXgJ5VksBbag0HaRhpJuoHii7mVmMTh&#10;Qty3GhCFGFBB7jG9qRWyumLiOor3ChXct0i/lkr0A2yMhAtx32ogNKcnUEHEVwsFVEjVfFdRoTj/&#10;pu2mQLRH8WUAJnHSUYhxi+OyU90PFNgfnLBKPcyhe6gjmvqyEO+So7rW/6PT9qvrhHugo/veeCIa&#10;MJaY6TuSLcQosLRZeBl+PK0Et2KI+TRUUXGBUTOqQoThUcfWG90R21x2a+xnqu3KVCHGU0k4T/hp&#10;c/EIqPf8MUZ5hfl4JcKg4tJC49JT5jlPrzMf28T9YdzGsd8nj6dMFmLaVLjqkUq1jCfScAtq9MTI&#10;e9dIS/FAx80eY3XgjPBDPMlInDCTXZItxHh6iTYztuyfbWy/ps7Ye6xBhM9Z4DIKKbOMmzo8HPfy&#10;2xYaVfKxS2yjwkOXzzV20LZqOZ4yVYjVs9BX3LlIPIkGP557njSzMuJ8IbWsCjE0igpFvJc87MpU&#10;IabNwueIQonKBQV0y4HZImzj3pnGpBkjzAdDLptruJeOFuEH6fxxHRwFjvDDI8lInDCTXc7ZcYM2&#10;caIJmYM2E4UYLnSICivWDassM0KHup8cwroJ04eLggH/WavHGyVk1dQ6FS+eMlWI8aYSzoc2DZ8P&#10;LC6eqUaGV/GKSwpFhQU/4lUMKY6w1ipeItp2w+a4/yXZ/4GCqdIFyzhfFX6YKih790bFg1CI4ZZQ&#10;awr/q3Zc4m9vXX7HuXH/C9MH+AIn39QlUK7o8N1nG+5AB6Yujos32HWbbh+5pEQqJF+o8x+6bWMJ&#10;j4SOmzLMWHLhROG/cNcM8WKEWqfiqefCx04eKsIhFbapbVY4XiJKtHJl+oBka/6+0iGq6b2hzjfk&#10;aSZErv4XaPsNTUbDls5l8lRjksv/AwpeFzC8/uPhT+MwOYDP3/E2WGVknlyQL9D1zwb/yYTn1rLi&#10;DZx8DftYtu/anJD6T+4NN4+Tp5gQvtDJ02rbXJIv2PmWPEWmP/Ly/tIXT7eX48N4/YKX2wa9Kb15&#10;zSv7B3HTl0kMZJb+kmFeaS9/EP/l562OpCxorvHTJkdpf0oXJoMgk/z6QHkj/KfbKv4jAvMYlfHz&#10;PfOr/3C6tfyel3aXiY+xM0xUVCHOd+5zOIrg5nsBVvSX/8H0Af2lECu4EDMDDi7EuQkXYiZhuBDn&#10;JlyImYThQpybcCFmEoYLcW7ChZhJGC7EuQkXYiZhXjzgmIkMw+qdTreV/zndkknEMEymQSGWXoZh&#10;8hEuxAyT53AhZpg8hwsxw+Q5XIgZJs/hQswweQ4XYobJc7gQM0yew4U4DnP8HZX9RfO2Hhsh/1Za&#10;0R0rX+UNHBsm/1bvabqvSHeMdAuFWBeebs0NnhLfNMsbfM0n/nFg+w7tI275rB3bWg1fqOOX8m/2&#10;Csxk+Nm987XHyWedG7rZ8Pg7tsm/mRK4Ns+2V2n3n89aGOo0Fmy8rUL+zdzFFzjVpvsDyejCaUXa&#10;cIgOEfafXFpqvNxeEbFe6VJPifHoljLtut7oJ21Ow+3vON/8t6mBTKrbdzJaNTmxa/SO5aXG8/v0&#10;1+i6RSXGIxm4Rl0716bcRE3HtUlUn7s48f9+ul0fnqwWhzpyv/nem0S4jQrltKoC42e7K8IaP6w7&#10;Q0J0CKGaCodx3wVmIkwcXhARB0LmtYcpYfvPXxx9fTzhP+K/psp5LTdq95uIOhtLjLrayGs0Zoj+&#10;Gg0tdRifvNC8RmOG9LxG912gvwZq+28Ey7XrE5Ev0CE+Sp8sJ3Zu0O4vWdGutP7TVOnvnm9WgCPK&#10;Iq9bX8kX6Lxa/NlcpTeFeOzQnhlt4ZjCsH9vXbFRQAnyf8EyY3CJQ2TmVgqjw0ZsA108XW+pYLkH&#10;FZuZVLc+EfW2EO/c1qbdbyKKd40u95rX6Ltby+Neo9Bs/TVScXXbJKpUr5FuX6nolnNKjOICh/HR&#10;9aXGEKrMVDgdIuz/ZWtFj5Yc4o4oj5R1fTq0INj1uPlvc5TeFGLaXFx4q6wZFPp/28pFJlXxxwzV&#10;X2Ss+2aoZ3MJ+1Tr7esSVTYLMW0e9xo9abtGIwdHv0aPB3peI4T/eKf5uVT7ukSV7UIM0e4i/sMX&#10;m8z/+vO9FcazJPjftqxUXC8V5zMXlRmt9cVC0QxBb9WvC3E8K/PUrgqjniwL/N/f3n3hdc2iLTNM&#10;i2QPp1MUfUTnIIexdU5qiZTNQpzINfKNMuN8O9R9jYZZrJHS2ilFRmGUa6TcK8iy29cnolwrxNZx&#10;ARWm08Obu6+Z6oqkW/26EDsHFYia0CprBi2UVlS5Sp+meNbl2TXdGf1TF3b3+57dY1qoaxaWCNHp&#10;htclo2wW4njXqLRQf40etGROaPHY7m3uWRXZN6ZTFC6u4zxXd7xklO1CfIm72JhZXSDSuYK6Tyoc&#10;fWJrPIwpWJc/vK5U/H8l67p0Ka2F+E2H4423HI6hbzgcf5dBUaE4L1DcNUq07afkqgh6U4jjWZmn&#10;qRDC3XSmaUFXTDLXoR+o4rx/TWSG/BTVpv6ZZvwSyuCwVGpdkS2jJ6psFuJ41+j5feY1apLX6Oxx&#10;5rpLPd3X6EO2a/TAxnJqOnbvo6zIITTf1fNYiSrbhdiatlZ/aJZ5XV5oqzB+uKPcmF6V+n9MVWkr&#10;xFQQa6VXEK1QKqgQ/4ZS5XzSWbTtEtIcuSqCdBfiWRarOkaup8MIF81BuAcazAwarVC+SAmWzqZR&#10;rhVi6zWqlf1fOoxwVYV39YIS4dottFKuXCPdvtKphzW31GLd0oTotLThqSqtlpjObgQVxjKpAMLI&#10;PUJarUSF+zaEoxCT/zHSLaQbaflPCLfTm0KcL8pmIc4X5WohzgWluzn9b6uoYF4hV/WA1iHOO6hg&#10;XwPR8rNyVQRciOPDhTg6un31N6W1EFNhPEd64Z8tvVqo0G6nQvwW6e8QpdBIuSoCLsTx4UIcHd2+&#10;+pvSWogzQV8W4h/tLA/fIsGoIx0+fPMe9/9+ahnESqdytRDTrnuEPbWrPByuu0bfsNyGSqfyoRDT&#10;4cL+HXOLIkaxrevSrQFdiF9q6y6UN5xVYiyZUBi+2FYXmRWPHKq46VauF2J1GwWPni4Zn1/XSLev&#10;TIgOFb4eEJ7U2jbHHCBVDwRlSgO2ENOujRvPjry3+/3t3U8VrZtaZHxwbakxv7Y702ZKuVyIiwvN&#10;zKkK8lO7u6/R5hlF4j5oLl8j3b7SIdo1XRPTtYZZ/dDX/GXGVb7UHnBJVAO2EMMK0+4jLry1ECth&#10;+Rf7ysOZ2bouXcrlQgwXrRR1j9daiJVgaXA9c/Ea6faVDuExS9p9RBcLy9Y4KgxK9RmCRDSgLbHV&#10;heyF+LHmMuNKqkUP+8x7otZ16VRvC3HLtgPa/fZWtOuwe1g+AGMvxLA0l3mKRUG3bpNu+YKdb9G+&#10;k+bptmrt/nor2rV4ug2uNcweR7nIW+9emZnHLn2Bjq/QMXKXTBXilZOLxMW9UWa+D64pFQ8uKCEM&#10;61V8+N++TP+qXW+VagZVZOoa4ZFSXAv1zDieVot3jU4tzcw18vq7vin+bJJsbrlcu7/eSl0T5dqv&#10;i3tk9wMz66lrpuKlWy+0DTVmb7km4kGrnGPy+VcNv2T7du0f6A/avPVyZP5e4fafbH+qrUa7//6g&#10;3rRU3MHOf6XrBfxcVG9bcX0GCjJOdkGoy9ixrb1fyPw/6UsAj//kbuxvWeiY9nj5KPyf3rZSgK/5&#10;5GnsS3eMfFW6rk2/ZMV1j82SXkYDX5/YrDzyyJvSy2SL1UcfNSC5yNjg6xOdVUce/iNfmyyz4vpH&#10;Hlt53cPBZUcePmflkUfvkcGMhK9PbFZd//BbXMllmVXXPfLvldc/0gj/yusf+oMIZMLw9YnOWQe+&#10;5ISLArz82i97RSCTHVQmZfTw9YkNW+EcgDNpbPj6xIYLcQ7AmTQ2fH1iw4U4B+BMGhu+PrHhQpwD&#10;cCaNDV+f2HAhzgE4k8aGr09suBDnAMikSAhWdK26/tF7deEsUzIrMUxusuK6R34gvQzD5CNciBkm&#10;z+FCzDB5DhdihslzuBAzTJ7DhZhh8hwuxAyT53AhZpg8hwsxw+Q5XIgZppd4AicvxEyH2VJj2/u1&#10;4X0lnuGRyWsamm/xrr7mfmPDjY8NaKEwy0vCMPkFMq8uUw9E+Zo7t8vLwjD5AxfibuX8R8QYRgcX&#10;4m5xIWbyknQX4vMO3KsNj6exc87ThveluBAzeUm6CzHt0lh39CGhWcv3hv3Q+Zd9NCLu0v3vN5xT&#10;PcLvkm6iWnHFJ7XhvREXYiYvyUQhVv7ZK9si1q04HFnwrHGh+RsORSyvv+HLRlFpuVFSPiSswuIS&#10;o6CgkAsxwygyUYg9m28QGjd/RdgPWQvxlEVNEdtB5+x5h7Gk/b0RYSuuuC9iuXHfu2Q4F2KGEWTD&#10;Eq84/Clj/bFHhX/svOXGqqs/F45z3iUfitjHUupjr7n2gbCKyypEOBdihpFkohAXFhULodmr/NC5&#10;re/uEb9sSFWPMKtQiK3LJeWDhcuFmGEk6S7E644+HPbbLbFd5cOcEcuDqsZELEOLt99hVI6dGSGE&#10;cyFmGEm6C7FVsQpxw8YjYf9qaiaPnL7IKCqt6DHYFU1ciBlGkslCPPWsLdpwqHTQCCqI91Hf+JGI&#10;8KlnNUcs24UR6/Mv/XDChT0ZcSFm8pJMFuJ8ExfiNEDV62SSweq93nA4Enq9jgtxt7yBzv+Vl4VJ&#10;Fcp1/E2eNIGCLL0x4UJs6vzLPpbQ9WLiwIU4fSRaiMFAL8iN+95jeP2d35KXg+kNUQrxR6T7hHSt&#10;3ChdK63StfNO6So2S7dfkkwhBjObjg3xbe6YOBAlLwGTDjSF+KekT5lex9PSBT8k3UH6hVjq5lXp&#10;2nlIulaKSEHSILFkspBUYHrzm2QLMcOkhSiW+FbSBNK3xZLJOtLPSL8VSyZjpQsWk5QFv570iOmN&#10;4D3SpcOGKSehcEMlCMhXuBAzWUFTiHeQmkjFJPvw/1HpWoGFtoMCfJfpDbNUuuNJupkWn5du3sKF&#10;mMkKmkK8X7qFpK+Y3jAd0rWi+r32uOC90gWwtApliQ9I93zpohCgkOclXIiZrBClOc2kABdiJitw&#10;IU4fXIiZrBClEK+UrpVF0t0nXSs+6SpSycw1pI+b3rhMku4K6cbjNel2Sldtn1a4EDNZIUohto46&#10;K75A+hLpG2IpNvXSjQf6yReZXoG1EGOE285BEkawS8VS97mruNhfNQmDcl8j/Y4EVCHG/eyM9bnT&#10;WYjxMIj0MkxskmhOz5AuOEu64Nek75reMPdJNxEeJI00vRGFWN3ewj1ldV/5GEmFPyddoMKGkzAg&#10;B9RoOFCFGMwj3Wt600s6C/HyQ5/gLyQwiZFin3iYdK1P3qgMpyzdXOnGQm0zSrqqEF9MwkMlbrFk&#10;co10UWArTK/jcyRdXIBzVLe/VCHG/W+MsOtui/WadBdiPJ7IBZmJS4KF2Hp7CNiXGcJeiFEAU5Uq&#10;xFyQmbikaIkZDbpCrApib8UFmYkKF+L0kclCDCVTkGt9LT3iOj2Bn7k8oTec3sBGLNd4QtPgjqj3&#10;z3F5Qw/WeEM/cXmCJxEmKXT6WraLfY3dWFHrCeLZ+Qic7uAV0qsocHqDt1bNaxljPwenN3S/9Ebg&#10;9ATvlO7/uhoCYrzC2eBfTPv5t2PmzNIab+Bax9SVZQi3Mtztn0zn/Re5iO3/CLfSs2UWzkEESqrn&#10;BzxwnZ6t80WAoBEDoI5Kt3+VWCSqGrYsk94InN4W9chw7hGlEKPPiGearWDw6m7SNtKjCLCAMIXq&#10;J39TurGYLl1ForeYcpJMF2IokYLs8gb/jAJU6wndTotqoM9R4w5tpoL6C4ejIeIZ9Sp34AEq3P9F&#10;RnX5Wg5SYd8qV6GQnsa+RswPYkAwjCqgQ+ZvdIoAibO+eYWzPrAcfmshrq73+6ny+IPT3XKT0xMS&#10;hRbQOf1SxXO5Q6dRWcDv9DSNpHX/gh/QNjdIL51TKAS3xuNfW90QvEAEWhg0s2kk/ZevqkJaUx8Y&#10;5fIGxGO9w+pbprh8dBxAx3I2hPCIsaCmIfhhcd3M87G8lHOs0FkXnAqf0x1IZtC2b4hhicWFsjCa&#10;NIVkHaUGuKVjBYX4lOmNiyrE6mUJVYhRa642vfkDpXw404JsFWJnQ1A8OkuZ/G0iQEKF+/VqT+B3&#10;KnMryGpdQVbyP1XzNo5BIZbBghp38I/I1GS1wy+0VHkjCymtezvt4xYVVuneNo4qgtvVegUd/xOO&#10;hj22l1wai2u9QTFo6fIFPqSsac385jPIAv+Blq+qcQdeo0IsHtHFsWDl4Xd6Wm5U8UG1J/hj0aLw&#10;hF4l9y2XJ/A3sWJucLBjZpO6LRkBVQgXUcX2e7mobcEAWH24dLwerZGsE6UQIyFfMb1hfkW63PQ6&#10;wk0YAm82zTK9AmWJ42Y2QhVitT9ViEeQXiQtEEt5Av3hiP+c7kKcSAEmCiobQtHvhTestb4GKqBC&#10;ci0VVvFcPBXGe0SgBSqQ1lt0AqfHL5qltO51ESAZUR84u6bOfw78qkCMqGuZ6/K2fICs/d+xHElj&#10;8VDP5mlUmP5V69scvtuBwuhwmE1oe8Gi1sF2WFEqrN+p8bb8QwbD2i8h6/3Z4fO2jqB1R6rdQfFM&#10;Q43Pv0dEINBlcDjMAo1WCc4f+4fr8rS8z+UOfk9EtDI1MMw5s2kIvGTRycLnGJpCjFr6+yRrIba+&#10;77uJpAqd9Q89Q8I2F5KwT3tTWQfioAKAi+a79dYPLmZevWecyUKcYAGmQrqnBJmSrPB3KFPuguQa&#10;NCvPlt6IgkGF65D0ai0RWUFUqBEg3og6P15XxewGOitXqNsXcHr9L7l8W2rhh/WnQiXudlBBfxau&#10;AP/DG1hT4wtuwSL2Ve0NfXPI/MBMsZ5AGFnj3yorrSDL/mWsQxcBy6hwVKVTXbdltJOa1PCbNBUN&#10;nht0yQXBkIbmGqrYfiQXzWY3Ne/JV0CVRJcZmEPwwFb6oBwbkWlR8FIV32JiEoYLcfqwF+LewA97&#10;MAkTpRDj8UU7agBLPTkVCwzvRwyqJAD6P182vY7D0o0YgLHxc+kmErdPSHchTrUAU/MSXRtqtgZe&#10;EgEJ4nKH3pDeCNBfrHaH3ls5b0t47KNmbmhatScknpKrdgciuk5V3pbldOx/y8UeWEedmTQQpRB/&#10;gGSfiRD9X/QxcE9N3F+0EL6NQahbS4Olmyh0KgJVGPFWE8BxdVP9WAdbVNysks5C3BsLjP6gqdC3&#10;qUC/WwYLKt2bZkuvhcZi6j/+nOJ+vsYTvEQGOmq8wc+IvqU3+CZc6if+D8Lhr6K+KW3zpMsT/Juj&#10;sXu0u8Yd3FLt9S+pqg9sVYNBCmdD81kub+g+p2U0WIF9Si+TLFEK8csk+y2mz0vXfktpPUm94geS&#10;SQyRKQg1s4ewIATuyamC2UZSAyvWikUVYmvcrJLOQpwquDVDBet95C10yRFnK9EKiyisntD7cd9W&#10;BgkwOIR1w2ZtDg8GYRlyeoI3urz+B3E7R65y1HoCf6up9zdgFNzZEHhlyNTu+8jmsY8VqgEnK7j9&#10;Jb1MskQpxLhPa78VgSb2mabX0SxdoG5nqHvDam4t8YRMHDAKDjA6qZrwVaSrSCjQ9veaMTOmQhXi&#10;aHH7nFwoxKDGF/y20xsUr2FSs/afItCkAA9C1HgDEa2sandwHayty7dFvLTidAcfECsIUVjdwe9R&#10;U/vrMihcEaDAw0+VxcNihYT2/zuXN/BnuSggy7ycLP13aD9/Vdsr1DKdA96IY5IlSiHG+8TWJ7bO&#10;kC5AP+gTpjfiFhAKorLS1tcA46Ee6sDEAtbJBSKeBCJUBaLixIqbFXKhENc0hD6Cgir88laLWEHU&#10;eoM7pVcUHFqPgl7kmLdhBG61VNeF3OYtn25EvPrgJdSUDs8hrvZJ/eS7yBqvtB4DoLmMSkEuRoAm&#10;O+Ljni6WKd5vxAoCt3rM45ElZxInSiFmUiAXCrGjYU+PhzmSgQql6tI4HNPXD62V91Dt1jbMhEb7&#10;47lhqhpavNLLZBIuxOkjJwoxM/CIUoh1b3Ko/igGmuxYmz94dG6o6U0IjGyj+YeXK5J5QqvHo4DZ&#10;hgsxkxWiFGLV/7SCtzfQpNJ9nsWKev5V2yfS8FkSCrHlFTHB1dJFfxyFG4MueIVOTctjLcQqblbh&#10;QsxkhSSa09b7i9ZBJdz+sT40nswLEOq2gppjK3yPksBEdwpVqeDWl8JaiK1xswYXYiYrpNgnVs3l&#10;cdIFKgOrQpzIwx7qA9MoxHixQuEnYd4s3W0qdb6qEMeK26dwIWayQoKF2P5IY15/+CxTcCFmskKK&#10;lpjRwIWYyQooxG86HI+zei8uxAzDMAzDMAzDDHAamjqH+5o7/4rXQRe2dBhLd19vrGi7kmXR+Xuv&#10;NRp33hCeicYX6jghL1/GqQuemOpp7npcHZull8/f8Vn35putdxDTztyNN0/y+Tv/qTs+K7p8wc7f&#10;e5qOqUcrGIaxMsffUYmCsrL9CuOqt53FSkKH7mikSqbLcAc6u+cYTCvHCpE2C1s6jUtvX6o9B1ZP&#10;HTi5QqSLL9iV1jd9PYHOI0iP7Tc0aY/Liq/AkZAwzO5g53Z5WRmGmb7l2GgUDBgVXcFhJablrVcZ&#10;Hn+nfeb6XtHQfPxMpA0b4dTVemKtqPgnNB6L+gJxonj9na+fu+uo9jis5LWopQM95R/Iy8swAxvq&#10;OXz7vD1HtIWFlbgO33W2qPTlZU0L2B96EbrjsRLXxit3GZ5g16vysqbEguCJqUgP3f5ZqenQHeem&#10;vcwwTN7i83f+BvdCdYUlltZunWa03ezRrrNq+eYpZKgWh5d3X19vbD08LyKOXVfcschY2zJNuy6X&#10;lQljrDsOKzm1dqzrddr4gqd8nB7pFxtjhpEka4yLSwqN0ZOG9tCQ4aXGwuXjIuIGL5trbNw3U/iH&#10;jCgV7joy4pffttDYf9xrXNLpi4ivdNmtC4zacYO165QWrRyHQmy4xgzSro+l8kHFYlulK+9ebBzo&#10;8BmFRQXGiJpyo+7sUSLezuvqjeLSwh7bR1O2jfHeY27jijsXGTWjKiLC95/wGge7Iq81/vNQShOk&#10;Ud3ZI0XDqvmSOca2q+Yblc4K47JTCyPiW+UcHfuaX3brQmPrlfON0KF5EQ2xeLr01AI6h9m03Vxx&#10;fioc57Sb0kItH75zsXF+0+TwcjzlgjHesH26MXbqMO06q+YtHmls2Dld/H/o0O2LRDrN8dVGXBO7&#10;6BSNA1HKU7JCOrTf4tWuS7fYGDOMJBVjPP6M4T00rNI0tkoLV4wV7r4b3MK4XXpygVh2FDiMSTMq&#10;Y1YszQfmGDM9Tu06qPUmt6h8UCnD3XJgtjYeetii8TBxqFExpNioGFwcsb754ByxPc5txzV1xqCh&#10;JcY568Yb0+ZVG5VklJdtmhIRP56ybYyHVZVpw5deNCliGRX8qAlDjPVkILBu5Pgh4WsEV8m6jVIr&#10;GW1cU906pCmdtjFq4pBwmEp3uxAXoyY4Ngywdd1sr0vsB/7CwgJjx7V1Is8suWCSsTp4BjU2kmuA&#10;ZdMY47x14e3UGJ1RH5nHkY9rxw4WDZn5Z4001m2bLq7NZNrHTroGRdRYjNaApVPUhkOuMYNF3ghQ&#10;w2v6/GoRt6HRbHDqhOs/mMoC/GUVRSKdxp8xTGyHc0P5RP5pOTzPqHSVi3jDqkqTLi8QG2OGkSRr&#10;jIdVl1HFUN9Dcxe6esRF7xeFH/7QFXONcZaeAVreg4eZBd6qg10LjDPmVgl/aXlRj/UQnXYP6eId&#10;oh441qG3i96cincl9daKiguNcptxhtCLRA8ZPWUYnQMd5rI9nk75YoxRyddRZb95/yzjvIvNdRft&#10;nmEs32JWpqPJmMJYWLdRGkKNLoxsnFlf02PdnmMN4hpfRj0r+zq7EO/8jT17t7j9gXW4nWENR5oh&#10;fNeReuFCyF/WONGUD8YY1xSNVozaVLkqREMS4bjecJG20Rqw+6hxunD5WGPMZH0DCsa4qrZ7tASj&#10;IfSXIuJgecL04cJfRuVOGWOlSmd5RDmopv0Np7pgz9EGEY5GF0YwYjWydWJjzDCSZI2xtVBb5Vs2&#10;pkeYqmxVhQRD6zvfjAcDiR6aigudMbda9HqtYSubpwpDqgr5/MUjRcVgjYMeHSoca5gShvgKqDc+&#10;va4mbNxR2ZSWdQutfIRPnllp+M7r/h84x6LiAmPJhRPDYbGUL8a4nir9g7LHunGveRvhkKz8ITRE&#10;tl9TF16GYAxLLEP2WK4gw2GNA+GWBZ26MCwwEOhZ2eNAwyrLRCWO3hrioDLHdqjg5y6sFVLGFo2G&#10;IcNN47Bs02SRTsupFzZlltloi6dsG2M0fOya7XVGGGPkb5SNXdQIwbVAHrcPFZ+/cZKxkxoj1rBL&#10;unxiJAd+GHTdbRurMcYQNP0dytuReQVhnqWjhX/UxKFhY7zKP1Wss5dLFW8BnTNGvwZRGUR5Rlx7&#10;vFhiY8wwkmSN8S7LvTurcJ/Xurxu6/SwH5W7zo97inBRmFVYPivbxriktEgMb9oFA4kev4q3spkM&#10;2WyzgYR7mYduN+8PzyMDqOLgdgJc9HysIxp2wajDmM729BwZyRVl0xiPpIYeGg52Na6fYEyfHzm6&#10;UH+OOXSMXvOKLVOFHyMXapSgqKS7ZwqDXTVS3zBevGq8GNLeduV87fp0aOvh9OybjTHDSJI1xqzo&#10;yrYxZumVCw9wsfRKOl3ecDh+R1sUkfC9Uix/9b8Oxwb4VVgqvOVwLCUN1Yn2W0nuHBmVYTICG+P0&#10;iY1xboqNce4q4XShWMVkeH9ObhG5f0YYuU/CfdPhuIMM8nr4rdD6r9G6d0XRO2U0AcX9DYU9QXpS&#10;Cv4n6HjfI/eHpE/JqAyTEdgYp09sjHNTbIxzV0mnC8UO937JH96Yeq6baSHlSa9hjGkf88jo/oH0&#10;DOl50l9Jz5F+SevJ3jNM5mBjnD6xMc5NsTHOXSWVLmQsj5AWk+og2tJQfimsr5XRk4IM7pu07Vxy&#10;XyX92i4yxi/JqAyTEdgYp09sjHNTbIxzV0mnC8UeQobxh9RNvRjGGGFkRPHMN8L/KSIRZEDRo40p&#10;iv8M4tL2FbR8N/zoAZPfPqT9KO2fPzXFZBQ2xukTG+PcFBvj3FWv0oWM5F3S2ytgjKUX/mXSGwbG&#10;XnoZJmNkyxhjWkw6vBDe+0UYpsBU75tiual1pjGjwXwXc1PrLPFuKiY2iDUD1CyfU2yv3qONtc90&#10;K5+NMd5RpUOGhekwMcPSlNlVxsTpw439HV7xClSxfL1GvVOK97jh7j3W0GOf0JZLZov1E6aNEMux&#10;9pkpsTHOXaW7zDBM3tIXxhgVt5oABBNwbL+6+x1FTOpRUGgayrUh00BPmjFCvOeKOY6tcTG/snXO&#10;6qmzK8Mza1knEMGyMsbx9plO5ZMxvqTDF75uS+UsXJCaFALzQ2MmLfjR+MEEHhfuOlNcO+uUjFiv&#10;/DuP4C6ew5izwGW45QQSECZcUcY4kX2mW/lqjOmwYsYxvJfsHD1YzP+OMDQ61dSuWIY74cwRIs3g&#10;xzXGJB+YVGWmu+dMaRBmp8N6bK/KSqx9ZkpsjBlG4g10Pn3+nmu1BSVdwgcI8KEIVCKohLfsn220&#10;3eQRhd7eo0Lhh+GEkUCvCwbY/uEDJcx/PUbO+BTNGEPJ7DNVXXl3Zowx9qs7Xm+1/RrTcCJNYJjh&#10;YnnavMhZrfDhCTUNImYrg4t41jhKmDEKjS1U6ta5j63GGEpmn+nQvhO9N8YNzZ3eTBtjlQaYrlL5&#10;YYzVehhHGGT4YXDREN1xzXwxrevqwBkivmrUYHKdqXJaWejivTPEbHJqMhclbKPKSrx9ZkJsjBlG&#10;4t50fHamK5mBoM1X7TC8/q7X5GVNC0iXDZe1a4/HSlwrWq80FgROviAva4o0FSE9Ljm1THuMdAmj&#10;RKMmDDVW+U1DCGOM0SP48TETSH2Ba85Cl3HhrhlialLMgoYpKzGvuH2fUHlFsXHuholiPzD2mPsa&#10;+8IypiRNZZ+91e5bNhi+YOdbdA4Mw4D6YMdSVDT7OtZqCw0rutBzPXv7jYYnzYYYjN14WQXSxX/N&#10;Vu2xWfF14eWthjd4Mi2viDaEOscjPXbcuFF7LFbiChwJsiFmmGh4Al27UNlA6y69xNjftco4eOsy&#10;lkWXnFpOlXGTcda2W8R18ga7/iQvX8bwhTo/iGOtbD9sXHFno7ZyY3XrEF2jpXuOiPTx+DuPy8uY&#10;Nig9rse+F289bhw4tcK44q5ztOfB6hauUVvnapEmkC/Y0SovJ8Mw+cLvdziGvrJfPKg14JkbPDR4&#10;QajzXupVPJULWhS45dlA6MAfdeuyIW+g83/kpRqwvLy32Ptya+kVcpFhGKb3vNpeMgeGWOnly7pf&#10;CWSyy6/2OAapdDndVvpVGcxkkVfay6/gNGEYJq280la2TRjg1vIHRAWzr/w9cF/cX7xYRmGyxAsH&#10;HSNUpa90urXi33I1kwVOt5V9T6XFy20Vb5ppUvYruZphGCZ5ntnjqHm5veIt6n2N//WB8kZULAh/&#10;pbXsfAp/Q0RissLz+xwuUeHvL3vSmjbUaPqd8jN9yyvtpd95uX2QeCBKGOH2CvFAIfyv7C97BX6G&#10;YZheYa3wmdzidGvJXKTNC/sG1ckgJstYjTHDMEzaYGOcu/xiT/l4Ufm3le2VQUyWYWPMMExGYGOc&#10;u7y80VEhKv/Wio/LICbLsDFmGCYjsDHObZA2r7SXfVsuMlmGjTHDMBmBjXFug7R5qb1CfBqWyT5s&#10;jBmGyQhsjHMbpM0rbeV/lItMlmFjzDBMRlDGmMXKpl5uGyTe3c0HsTFmGIZh+iUwci+3VTwtFxmG&#10;YRiG6WvYGDMMwzBMlmFjzDAMwzBZho0xwzAMw2QZNsYMwzAMk2XYGDMMwzBMlmFjzDAMwzBZho0x&#10;wzAMw2QZNsYMwzAMk2XYGDMp4d568uIFoZMGKz/U4D++WCZd7tB4rNjj7/yO7nxZuSdfsOsvM5uO&#10;DZGplzXmBo+5dOeX73q+fbjx9X2TtevyWd7giY86HMcKZfIx6cIbPPmfRaEO7XylrNzVs+2VVDC6&#10;DE+g62cyKbPGnDVXV6KQ+rce1J4rK3f1gd2LRQXrae5cIZOzz/AGT+1HHn5g7xztubFyVytD14t8&#10;42hqKpLJyfQGXMxjOzdqL3Zf6IW2CnxZx/jyljLt+lj6/vZyo7jAEV7+2e5yTHYu/J+8sMyYWVNg&#10;3HR2iVE72BEOj6d3LC81powo0K7LVe3Zts/wBLv+ZKZo3+PdePMk5CPdufWVXuxFPvrhjsh89NSu&#10;cuNlSz5Cfrj5nOTyEbYbOzS/8hHS0B3suM1M1czjDXR8ZEnoJu255JNcgxzGZy8y892nyS0vdoi8&#10;aI9n1eP+chGngFRcmJgQf64zt/LUt1vHmwaZ6R0LQ7fWZaMS/Wqg3Bhe6jCuXVQSU4tGFxpOyui6&#10;faBSpL9gvESVsArDsvK/bVmpUVdbGF7+4Y7EKtEbzioxpiZpjKsrzIICjaQKWxcnk3qZlM0CsYB6&#10;5s1bL9WeWyaVaD5aNrHIcFIa6fah8hGMuQrD8i9bTf/7V5cas53d+ehHCeajty0rMSYOTywf4XiQ&#10;qnCVvKP7tuL94r7ZhjfY9V86dp+APIvKXHcu2dDL7d1p8YG1pSLstCXs/at7NvTuOK9EayAvnFZk&#10;PNocu2H49J4K4xf7KowXWvX6+IYyY2pldwMQ52DfRy4IIxu+QMcDdH5MqviCp3zZMsaJ9Bra6ouN&#10;hWO6K0KlR6j3g9Yo/E9sLRc9l3FDHcbW2cXhODCQ7yCDrJYT1VCq3MuKEs/0H11fKgrJlhnFxqgh&#10;ZqG9wtd9Hn2lbBpjn7/zNzu3tWnPK5NKNB+hgaXLR1+hyhL5BP7vbasQxhP5qJnSUsXB8l3nJ5+P&#10;sN8iS287lugSRlS0qoFgDesLfWXftD7NR9moexIRnZrQ0cXFYf83W8p7xGscXyjylj1c6fMby41S&#10;amBZOwx2qREYndAQsC7jPKzLuaKVLUeNBcGux+n8mFTJV2M8q6ZAZMxCqux2zjULjLWwXOEtNs6o&#10;MvePYw0jA2vP2Dph2LucDPF3aF+zExgO+iW1XnHsQcXdhQTLUKxClgmxMY6uaMbYmo/8M818hH2q&#10;9TedU2JMlr1bhFdQOicyTI18hAbdk9srEspHOK5O++qKtPEzJTbGpqy9YQj1gXX9k5S+9nz34XWl&#10;xrAyh/H/qHNgDYce2FgW3tfdyyKN98Obzc6ENQzCbY4zKiPDsb11OVfExjgNZNMYo+dw75rSmFo9&#10;pVBbiUKoFH2jCowDZLBV2EeoQETrjdDfNdbQ/nTrIHXPUS3j3g+GiKxx7EL8aBpc0rcFZ6Aa40Ty&#10;UfPMopj5aPHYQmPnvG7Dd98F0fMR7vEtm5h4Prr/4jJjwvDE8pE17EpfiQibMCy+MU+X2BhHjkr8&#10;orU7be7fGH105GPrS40xgyPTqfPcUuOpXfEbbrGMsfU2G4TzsC7nitgYp4F87RkfaDAN8J75ZgX6&#10;LVvL9Yazug30L1vLjZ/GKRSnlpZo7yning5dJuMLTT3v/dx4tllZekf1PD/0irAulvFPtwaqMe5N&#10;z3jP/Mh89O0Y+QhGFj1e63q73ra81Kik3pE9XOWjT5KRt6+DsC6a1L3rvtBAN8aqIQVZw1XYbVRP&#10;WMOh5dQww/Mp9nBI3YO2Po9gFxr99h5wNNnPK1eU08b4LYej9U2H4wukh0gPkD70hsPxLLmPy+UH&#10;aPlSGT0paLvf0P7LomgOaYeMGpdsGeMvbSoT91I8ZMhiadRgR4/WIYQhYAwZfiNkVo7I9IWaAvQD&#10;S+WJZWtlihZwYFaRMSeBYcT7LcNMxxZ3V9C5pIFojB+hXkUi+Wj8MIcx39UzHyEPWPMRRH8nIg6W&#10;7fnIOmyJfWybk1g+epDOF9tDuZiPuGecuE4tNZ8VsauUGuJDShzGftlhgBB+53nR7y1HE+qrBzeX&#10;Gc/urRDCfnTxsq2cNsZ01UaSwf2rEi0bluV/km6XUZMGxpj2V0gqIMO7grRQhj9DYZWkQSJiAmTL&#10;GLPSr4FojFnpFRtjVirK9Z7xJDK4d8tFGOe0ZXDsi/Y/j9xtdIyPkgvD/3Eyxi9hPflfEBETgI1x&#10;/xEbY1ZvxcaYlYry4p4x5eoCMpLPkxuRwSnsZelNGjK2z8GlfbxORvlaq2CUyd0kIiYAG+P+IzbG&#10;rN6KjTErFeWsMSZjeA0Zyh/JRYHVGNP6ndKbNLTfH0gv/G+Q8cU96LAo7Ck60EgZJS5sjPuP2Bgn&#10;rh/vLBevosR6/3Mgio0xKxXlRc841+mPxhgP1Jw9FrfURQNIyLo+OKtIhD3WbD5MM3VE9/qf7DLD&#10;Vk3u2/c70yE2xolrZo2ZPz68LvoMSchHa6dGz0eXecz3klU+mjCsZz5aMSm/8hEb494JeQavyNFf&#10;C8u6/t0rzTcwvtRULl6Rsz55//w+M8/M0zxomOtiY5wG8tEY+2dGZnbosxd1v1qA10jgfn979NcU&#10;xgwxn3ydUV0gCgX8yoBb4+aT2BgnLmWM377crByVMPWliqPy0VO7o+ejkXIWuMZx3Xknn/MRG+PY&#10;Uq8sbp5hNrJ+IQ1oSaGZ3j/f2z3SgnBILaswPL0Pf2udWY/Bj1fr4O/L19jSKTbGaaA/9Izpb/TI&#10;9FA0YwwtnVAoXonB/LGqRYpXUzBs+c4VJcZnyLj39QxavRUb48SljHFDbffrSJikBWGh2ZG92WjG&#10;GFL5aMMZ+nz06TzLR2yM4wsTdNCpG2dUmnmiqrxnvoCwDrKHozOB15/QaEPeQJzxwwqE/z2rSsQk&#10;Nfl2+4SNcRrIN2P8871mhQeNH15gHJazFEH2uLGMsVJIDlmjRfr2Zea+EK7eB8Uk7vZtclVsjBOX&#10;bpga7/0izDc6cpgwljFWsvZs7qXetYqrhrB/srP7veRcFhvj+Pq/YPecA9CNlolhrFLrdeug284z&#10;65vvbi0XkwqpuE9sM/MbPhJh3yZXxcY4DdRtPDE1nwoEZlyi0xbCFHSjB3cXChUHQ9YqzC4VBy1P&#10;LI+zzN6E6ecQ9oMd5eHZtdS6XNezbfiucfaMsWdL1+cubLlSe265KGWMdVJxPn9xZKVrlYqDe4RY&#10;tuajL24y8+g3QmXGXefnVz66Z1djn36KE3n2/j1zteeSi8I0qXTaxiQ5XzlGRbCspkdVn0XUSe1D&#10;5Rl8bUyFfSNobveeVaXGfbIeyqcha6SjJ9CZ8twZjMQbPPFMf/im6EAVJrVHYfAGO74skzQr4Bxu&#10;3HGR9hxZua8n9o0V+Wj8mqsrZZJmnPpNt9TjmJhBT3dOrNzXwW3bqAHX+YZMUqa3zN10fDYKxYrQ&#10;USoYg7UXnZVbeqFtqLEo1GH4gp1vzV12aLBMyqzi9Xd9E/no1p1rRCNBd96s3BHS6Ov7JgsjTPno&#10;rzIZ+xxf4OSbOIcfttZqz5OVW0K+uWJ7UOQb95aO98pkZNJOw54ST+DEl/CR8f6i8w594i1deL7K&#10;E+r8lEytnGXelptmeQNd39Wdf76pv+UfUx1/9IS69snkyhm8wRPXUKPun/pzzjed/O+iHe94U78u&#10;P+ULdn1t1uabx8nkYpjEWX30UQNadd0jp2UQwyQM5x8mFRqP3TdE5Z2VRx69RwYzzADk2LFCVRhE&#10;ZXr9w2+tPPLIm3Itw8SG8w+TIiuue2yWNe9AK6975CdyNcMMHJYdetiFArDi+od+tvL6RxrhRzgq&#10;VOVnmGhw/mFSZeXRR5rMvPPwlSuue+QHMr8UwF193SNZuy/PMFnHWpkyTLJw/mFSxWKMGYbhypTp&#10;DZx/mFRhY8wwFrgyZXoD5x8mVdgYM4wFrkyZ3sD5h0kVNsYMY4ErU6Y3cP5hUoWNMcNY4MqU6Q2c&#10;f5hUYWPMMBa4MmV6A+cfJlXYGDOMhbXH7h+EAsFi9Uarrn/0Xl04ixVT1z70Y1kVMQzDMKnCvRuG&#10;YRiGyTJsjBmGYRgmy7AxZhiGYZgsw8aYYRiGYbIMG2OGYRiGyTJsjBmGYRgmy7AxZhiGYZgsw8aY&#10;YRiGYbIMG2OGYRgmZ/A0HRvpC3Sd8gU7HhhIWnHN/X+BMdat6+f6pNvfuUomP8MwDJMtyPi+d0Ho&#10;pLH0wAeN9Td82dhw42OsASSk+epr7jeQB7zBrl/LbMEwDMP0Fb7AyTfP2v1ObSXNGnhaedVnDF+w&#10;8y2ZPRiGYZhMU7fl+Fz0hnSVMmvgCnnC09zxeZlNGIZhmEziC57ysTFm2bVo2x3GgmDX4zKbMAzD&#10;MJmEjTFLJzbGDMMwfUg+GGM6TaOopCwpYZuC4lLt/pTW3/CoUVIx1Dh799vE8rJLPyq2gypGjOwR&#10;364zl+4Ix09Fw2qnaPebC2JjzDAM04fkizGuu+Bwj/DZK9vIaNb2CIewzYrDn9SuUyooKjZc0xb0&#10;CF926ceM0sEjeoT3RkNdk8L+FVd8UpyfdX2uiY0xwzBMH5Ivxnj0rEZj5rI9EaqdvtAoKR/SIxzC&#10;NrGMcUFBIRmcW7XroLXXfdHcx5Wf0q5XWnPki0Lrjj6UkLANG2OGYRgmgoHWMz7vwAeM4rKKiLCl&#10;FOYoKDBGz2yMCIcWtZwS+6qeNL/HOqVzW+8R22PI267iskFi+xnn7QjHZ2PMMAzDRDBQjPGqqz9n&#10;lA2pEveJrfEgxD237Z4e4VatP/aoMXr2ucbKKz/dY93SA/dGNa6Lt91GvffBEWFsjBmGYZgI+rMx&#10;btz7P9p1Smuvf1DEg6G2r5u//pBRe+aiHuE6LWl7b0xjjAfKrGFsjBmGYZgI8sEYR1MsYxxPM8/f&#10;ZZQPd2nXKaE3TJfI8Ppv0a5XWnPdl4wJDWu063RiY8wwDMNEkM/GGA9qJWuMl1/+v8IQFhaVCNeu&#10;qglzjPqLrxXD0euOPizmbEb4yAR7yTqtOPwpY8ycpYZn01Hj7F1vMzxbbhT71MXNFbExZhiG6UPy&#10;2RifvetuY+aKvdp1sYQery48lnT3mlPR2usfEj1j3bpcEhtjhmGYPiSfjTErc2JjzOQUbzkcjYbD&#10;YbBYuaY3HY60VJQzG48NEcY4TT0/Vv8Q8oQneGKlzCYMk12UMZaLDJMTpNMYg7rgiamofM87+GFt&#10;xcwaOFp73ZeEIfb5T9woswfDZB82xkwukm5jrJjZdHIkKuKwWk6xBoIsae7d0rFUZgeGyR0SMMaF&#10;pP8l3UtaQJpBAr+XrhXEfZ40lvQwyU0CfyTNM71RmUUabnq1FJGaSWNIw0jlpH+QEG7HR/KaXsFr&#10;pA2kt4ulbhpIPyT9iHQO6WbSEtJzJCaLZMoYMwzD5CRxjPER0i9J3ybdRhpPKiGB06RPkuwG9J2k&#10;StJhsWQCY6fjAdIQ0yvAvn9lenswmAQDbOUH0rWCj4XfR5pIKiZdQXqD9BcS/oOVkaR1pL+LJYfj&#10;M9L9EOkXpCfFEtPnsDFmGGZAkUDPGD1RGFb0NtHzhXEGMNA6EAcclK5atgIDvNz0OgpIVO/G5QXp&#10;1pCOml6tMcY69GyxXzQWXiJ9nfRrkp80haSYS0KjAr1iACOOhsR/xBKTNdgYMwwzoEjwnjEMJ4zv&#10;XrFk8i3pRqNDurHYRLrd9DpWkf6P9KxYSoxo532pdMFd0tUZbvwnNDYuF0tmL/9p0qtiickabIwZ&#10;hhlQpPgAVylpkOmNyiTpZhL7sHU0MPytDG6i6O5FM30EG2OGYQYUKRpjhskobIwZhhlQJGGM0VPc&#10;ZXoTBk9I46GvdNDXL+e3SleBIfXegh76NSTrNYm132j35XVsla4CxxhlevMPNsYMwwwokjDGeL0J&#10;TyijgsTTxtH4F+kZEp5QxtPKF5CGkr5CigZeL6o1vVowLP5uUryh8XSB17A+bnoF75Uu7icDvP5k&#10;5SrpxmIPaY7pFdcR99yj7Rf3sXFN8PQ3jCy2jQde31JMIG0j4XU08D7p5g25aIzFO6rBLjxlzzAM&#10;k14SNMZ4Onk/CUYWDzf9maQDTzBXk/AAFZ6i3kyqI8UCvWe8+hSrF3cZqYL0Y7GUHmAI1atOOF+r&#10;obcbY4wKwKCNJunuU1uNMQzhn0yvYwTJblAQph4mi7XfD5NuIllfr8I1xatfiFuPAAtWYwyuJF1M&#10;6hRLeUauGuPzL/uYOXEEG2WGYdJJgsYYFT1eDULvGBX830g6DpF2kmCUv4AAC7pJQhpJx02vGMLF&#10;K0W63i8MHIj2DnIqfIKk9ovXsNCLV9iNMVCTiOAVK/Rs1atZwGqM8erUR02vMLzWoeb7pWsl1n5/&#10;I10ruL6/Nb0R2I0x0gD/406x5HD8TLp5Qa4a4+WHPiGmVFx39BHTKAc6MckNwzBM70jAGKNSxzDq&#10;O0gY+lxG+jfJDnp3qmL6gHQxE9f1pjfi3V08aX2G6e0B3v3FsTBZB8DsXWof6JWn6x1gGEE0MPDq&#10;EwyoajxMJsEI4j/uQwDhkS7AkDHeX7YyW7qgjATDCiOMd5bRCEEPOEDCdVa6hBRvv1ZwXq+T0Bia&#10;T8I+HiUBHA/L3xVL5rA+BDBb2dtILrGUJ9CfiWqMp68/PNQdOOXpa1mNsRK+B2wa5Q42ygzDpE4S&#10;94wZps+IZYwXhLoaYQCtRjHbYqPMMEyvYGPM5CL5ZoyVlFH2+Lt+Lk83rdT6WgynJ4QpX1NiUH1g&#10;lMsX+qtj7EY8g9GDmobAE053EKMvAjrWf1ze0DflYlSq6gPLXe7gF1ye0K+cnpbfOmdutd726YHL&#10;G/yLyxPAJD8JMWzBxiqnL9BG5/YV7B/Hkat6jdMTeL3a2/KQXMTyF2vc/s/KxcSY0Fhe1bAFo4Z6&#10;pu8YStcRI3EpU+sObqnxtvykqqHZOu++w1nfMqXGG/hndYP/h3Rd/jvUE8JzO45qd2A68ouSyx0S&#10;c+4jnP7jVym9vodl4HT7H5Pe3kH/E8eqoXwmQ5hEScIYYyg3kVb/TJKaqQtD0TeY3pio6Sh1YBpO&#10;PFmMfenuO6cKZv66w/RGMI2EWcCs94xxbCcJH5IAGPLF8D2TIfLVGCtlyCgXoKKjIltMRukmqnif&#10;UxWvndq5wcGIW123BbePiKbSGo9flDNzH904PcEbyTg+73SHniKD8WCNJ/Cj4XP8uMXicPlaDjrd&#10;ATWLXQROb+h+x9SVuA0izqvKE/wYndOT9v1bqW4I3VvjCYUfxISxl95YFLi8gWY6x6cp/gEEqOsg&#10;1mqguJfRf3mr0h1cBCNEy3irQwut66DGxIV0bvuwXxhNuiZ3OOuCU6u8AdxqC1M1b+MYOpfnHRO2&#10;llM8zHcfvp6x/vfweZsnYj3t94+k41XzQ+fj/LBOtx2lwYmRdSHxUR5qfHwVBhTHE/twh6zz/ovt&#10;nR6/+BzkiHr/HBhk+J3e4LyqeS14MyMCdTzlIu3h2hk2c2MV4tS4mxspzjec3gCeGdJD+YD+10rK&#10;l/T/At+na/5XsW19INabN4yVBI0x5m/+FAmfHoNRpnpSC1rDF5JgqF4k4YEktOJ2k2IRbX8A+1AP&#10;QeGBpHQl7nQSjDG+LLUeARbsD3CpubDRKFhseplMgjyZz8ZY6dzW9wqjXBe6SX3tLGWoQqRL0pTI&#10;zHDCOJJBdg2r3zyFKmfxIRR7JSwgo03G9nB1fXApVd7fpbj7qFK9io71Z8Rzev0vkRF/pNYb3InK&#10;WW4lcNVtmUuG9RH4RcXrDh0lg/FO6nHhi209IKPyv7UNwffAX+0J4WFPAYwT/lutL6Cmxu0Bnds1&#10;Lm8LjOS7sBzxHyzUNIRWV5lGrBC9dfEfPE3xeukd1Q2Bcx2j1g4ig7yBeqCzqzyhrWR8npBRwmBf&#10;aHAMn7dhBG33G/of/mq3P4R1Qxqaa6iH2uyk44rIkpr6LWvQ88S5qGvq8gRfwTrax1/I8IbnGiDj&#10;v8DpbfkD4tFxjlC8v1GD6K+035/WUgPB5W4Jwujp/n9N/aZ6Oufw8zxV9UEf7f8b8Fc3NJ/p8gXx&#10;zAl1lzZWIU9U1fkvooZFeERAMRQ9Z2+oqXr6+qHo8dPxXqP0x/wIMcGxqbF0Jx3zecoL/4JoW12H&#10;h9GRoDHGxyFgoNBKxPCW7ilf8FUSWq7qYxLICMowRwNfeUKvU30Iwo7VGJ9Fsj/lnCrKGCus10D3&#10;NDW4joT/JwofkzmQJ/PZGJ/b9j6zZxy6RX1GNGXQS6UK7k3qEbU5GwJPmBV6KITeloxiAcaaRBUp&#10;el5U2YqyOmTqRidVlvhoSjRDVlBV37K8uiH4KhnYz1fXBc5DhU3b3IzKX8aJSpR9ShpKaF8L5YLD&#10;5Ql8QxqJuKNLNb7A5/Bf6By2WY8hroGn51B4ZUNoPAyckxohMkgPGZkab+gXuK4uj/9TGFYVjQUy&#10;HtV1IbfTvXkRGif24fxKT/NCp7vli5Qmk2lb8YonnduLLrd/Ml2rf4pINmBsKe7T5jkHbq9saBpv&#10;/hfq2U8NDKNepHoVMgwZtWdwbNELJ+j6/Zz28Ty5T6KxQef2sogoQa+ZDDlGKaIir5/4cM+gmU0j&#10;qz3BAPVk0dGSIy5hCqiB9jM676SmEK7xBv9N+fInpN9jf3Sub1B+/YhczcQjQWP8HekqovVk1cxS&#10;6knes6WLp6d196gwzGMtkHjqFxncOvRmNcYgVi86GezG2FqQdMZY9cjxZDmebO7rGcEGFMiT+WiM&#10;02mEiSKq2P4xeN4WvIsfBhVd1fzATKrs9pFh+2KNr3m1XBUGPSnqkWlnd7NVvFSRt+x1+UKHyKi8&#10;gHU1niA1Os0eOPXSvlrrC+ItiuiIIVvTMMWipv7CUWL/7lAnHetxGEOqwP9pP59YoOdV69sqhnyj&#10;3feWFFS7A+sRTwm9TBgKOuZPZRwYyl107q+TYccbCo5K96bZ1LP9Kowrhds+LtNYjMaN2ThqeRYG&#10;EEYdvVxqKL2X4r9JDZmIUUCXO3jM5Q4ExYI5tP1rxEf6iTAbI+r8E5we/3fQ46ZrdAf2iWF2Mr5X&#10;qlsSFP4xEVmCa4hRg26Z96YrG5rPwr1h3KKgnvnPyPDik7VoDJ2nDDft9z3iHrKlR23FWbdxKp2D&#10;GB6HaH+vYQgax5FRBJWUR2m/f6v1NH+ejv+MOA+Kh1sfMgoTjwSNMYyTFfXdXyuYQQtfXgLWd4XV&#10;94/xylIuksq931iVAJMGEjHGS9rf3+dadfXnYhphd+CE9XW13GPsggoYQrkUF1eDv8dQrQ6nHH7u&#10;E6injCFhudR7Gtb2mNsADYUR84P2ei8uOK9o9/HtOOtDK6ih8y40GhJ84KlAjIZozjdH0X0+l4lG&#10;gsaYYfqUWMY4W8DY2t8zVka4ofmWiCdcGYZhkoKNMZOL5Lox7tdGeN6GEXGGgCPAsG21O6gm6ckg&#10;jcU1nhDedmCY/kcSxhhPOorXHeKAmaXURx8w9LKdhJmlViAgCnj6Mtocyrg/a/1QQsLvJqaI9elC&#10;NaMV5nkG35fuMemqIbwvkjBsppvu0go+mGGdtjLafgc8uWqMF22/MytGGPfr1H1c8WSsN/gD3Ht1&#10;eYLWuct7gKd/sW11w9YzZVBUajz+tS5v4Fna56+qG/wbqtW9Tg21vqDP5Qn9F/cknZ7gtkoP7hn6&#10;9znN+5SvmefbDR7mqfEEXxX3Hd2hi1yeljec3uC/a9wtH8BDWuTXPvwEaj3BO2u8gWvJK4Y9cX50&#10;nnhYVAvFPVsdv9K9bRzFfb37Fa/oJHOtGCbtJGiM1VeFFNHmpsaTc+0kPByFKSzxVPWXSVHf8SNw&#10;z1a8ehGFeOfWG/ASPIw95shWH41Q95DxDqN6KEW9B437YvYvIMHAWj9ggR4F3odGwwUPSdxNsmI1&#10;xrH2O6BBnsxFY1wfPIH33vsM8dCTO/AjPJRTXd+yxNUQfM7l9T9Bxvh1GA7qKb5dRtVS4w1+GE/g&#10;ysXozA0OhpEnQ/Y/NT7/nkFnBkbB2KI3KmOEISP9PB3/z7T+78K4UoOAzuNVp6/lRnJfdOGBMFKN&#10;26+eITEbE3iC2YMnmANPYN+DZ2+pdTQ0lOC/6HriVe7Q+XCdnhZq5OLdan97jTv4FfMBodBfqDdu&#10;L1uOqrrNM3CsWk/ox3Re73K6W7aLB5RmNg2RUaKS8LVimEyQoDFWTxWiwGwhYb5oHfiaEAoInhTE&#10;O4mq57eA9KDp7cE/pIsvJ60xvRFkyhi/IV0dV5PwkQc7eIcarwKg5YwnxNU3hPE5RFRaTWLJBB/A&#10;0D20Zv+gA7Dvd8CTi8Y4G+CBHfQaaxqCnyHjJmaFIuNFl4aMIibo8IbQ2NWCp2ZhJIeYRvZ3Mjgq&#10;ZOx+WUE9yMGTL3ShJwqjhtm6hNH3Ba1vNIRxmsb317TtK3jSOJoxE8aYcHoDP632+P2D5wZdZCQ9&#10;eBUJ4XiKGT1n6p2Lp5HV/4YfxhvHEUaWVO0N7MV7vlhnB0Pm5hO/fmHIFdXujWI2KrnYg2SvFcOk&#10;nQSNMYaE0GNcRMLQVbT44j1GQhlrfL0Is1fhNQ+8T2wFnzBED9oKPrKAfcNg+RFAIEy914xzCE8W&#10;0EvGkVSPH8N/6tvCOM9dUmoSguEk9Q4fjCZeg0BYND4tXfS67bPWWF8hSHa/AwbkSTbG0rjUb56C&#10;CTfMJ26bijAsLNa5/ZMdM5tKhWyQ8fot9R4tt36aimCMMDQ8on6zeuVQgB4q9ThfcHpDdzndwfZq&#10;d/M6F14DcrdcQ4b/G86GwN/w6oqMHoHYpyd0f603dI94vSfKFJcRhlBMDRm8gLa7mgzfpeT/mpzJ&#10;KyrVni1u7KNi3sYeM0rZQTz8J9rv06QOtS31/LUjdMlcK4bJGPwAF5OLsDE2EUYEMyER1Q1+s1FK&#10;xtfp9YtRp5r6rQ0wOiKcqGxoGq4zzmEaG4sxxaNuVir760K4N1vjbfkH7T/aJD9isgky4GJ2JuqN&#10;fpB6papBHgHt5w+mG9xZTb1Q+K0TimAaR/t5V8/BFJDB58ko3qrei6XlY7gmUI079GqNOxA2otQr&#10;/5N4B9YT+q+KQ4b2SatqGgLfEg+oEb25VgyTdtgYM7kIG2OGYQYUSRhjDOVGfboyChiGjjusFAd8&#10;TL/O9GYM3AsXvQ8J7mPZ59O2z19t5T7pJsJm6Spi7XfAwsaYYZgBRRLGGB+KwH1WPEQS6wlOPBn9&#10;/0i4b4zhnYtIeLI46qsIBF7tifg6igXrdJj4WpL6oH46OUhSQ1HWJ7vvJWHebDW7kBoOVE+JYnhu&#10;HQnTeOLJ7Gj/wYr1Aa5o+x3wsDFmGGZAkaAxhqHZQcJTw78gRZuHFu8B4ilqvN6Ep4s3kuaQYoEv&#10;rGD+UhhaHfa5qRNpOCTCO0jqNSZ8lcl+XwifgVRz/mJKT8SHsbW+IoHRAjywAqN9CwIkeNANH5TA&#10;0+HqGAqrMY623wEPG2OGYQYUCRpjvH6Ed4bRK4ZRjvaecSsJryjBAH0OARbEAxw2YLROmV7x1DQM&#10;lf19Q6sxhoFP18TjVNeHsfaMwReka6VBuvi6FM7J+iHx8Ee6LeDDEj8xvRHYX22Ktd8BCxtjhmEG&#10;FAkYYxhWfGz//STMroUvwei+8AFjhl4zwCtNYAIJM+cA60fEEa6MkB18JhHHukEsmUO4mAkLRr7H&#10;BAS9AL14fI0K71DfScKrRQDnieuhBKyT/8Nwx/qmMl6NUo2Vx0h4nxmNDvAjEvaJcJDMfgcUdJHY&#10;GDMMM3BI4p4xw/QZbIwZhhlQsDFmchE2xgzDDCjIGNej4mOxck1kjNVMZgzDMAzDMAzDMAzD9Ck+&#10;f0eDL3jyfd5A1/dZNvlPftMT6DyyoOW23k7ow/QD6gO3jHIHj8/2BjvmsfRybzo+2xM6US0vGcMw&#10;8fAGuy7DpxKhc3beaJy354ixou1KlkW4Jou2nhDXyOfv/OfsdcfV98szTYHX39FODaXXVRqxesrr&#10;73ydGk3NuF7mZcsMZGRu0h2fFVtUZuyzOzIMY4Uq+Z+gsGw8vNu46m1nsRLQubuOmpWM/+RieRkz&#10;AkYqzMqsy1jZdtjYedPFxqE7GrXnNFB16e1Lje03NBnL910lrhOu1/zmLnw1L61MX9811Bvo/Df2&#10;33TlLu25sPS68PI2kTZoxM5sOhb9IyUMM1Dx+bseQ+VyGVVoukLEiq4Nl7aLir9uS9doeTnTyoIt&#10;nZuw/3UHL9Een6XX8tYrRbr4tpzwyUvZexqPFXuDXf89Z8dN2mOyEtPirbeItHE4jmG+C4ZhQN2W&#10;Y6NRMA6cXKEtOKz4WrL7OjE8Ki9p2vA0nRyJtGm+epv2uKzYWksNGFy/6esPWz+EkzK+YOfLuEWh&#10;OxYrOS1s6aAecpeaAIphGK+/69mzuaXfa6HSn3/RTWkdFvX4O1/htOmdFm09bngCHZj9r1d4mo6J&#10;htHBW8/XHoeVnPYe3yDKzLwNx8T3tRlmwIMC0XpijbbAsBLX2dtvNrzBznvkZU0HBWblv0x7PFZi&#10;Qt7GdcT1NC9rangDnY8uCHVqj8FKTbievhA/0MUwAlRUl9++RFtYWIlrWetV6IH9Sl7WXuMNdYWQ&#10;NrpjsZITrmND8/Ez5aVNCa+/8xV+uDG9Om/vtbi9o/ugEMMMPLjCT4/WHTyoemBpwRM4+W5Om/RI&#10;PF3dyyfevf6u13beeJF2/6zUtHr/ZWktMwyT16Ra4W/cN1MbbtWlJxcYwcvnRoSdv3GycfjOxRFh&#10;dq3fPs3Ye4Nbuy5XlX5j3PVxNsbp0aKWDhjkRnlpUwLGGPc5dftnpaZ0lxmGyWuSqfAPdPiEu6xp&#10;stF8yeyIde3HvRHL0NlrJxiBy+YarTd6jPXbposwOqSxaNU4Mrjmsk7jpg43DnYt0K5TuuzUQmHs&#10;desSUetNnh7b7z/hNa68q7uhcJj8O4/UR8SJplwyxqMnDY34HzpdemqBMdPtjAgrH1RstN7siQiz&#10;a9zUYSL9detyVblgjJFfdeF2Ic9Zly+7Nf522ObKu2Ondy6KjTHDWEimwm9cP9EYOX6IqOztKihw&#10;9IhfWl4kXFQW9WePEn46pHA9540Ox7Nr5PjBwljo1ilhP9DBLrOBkKhggNW2UP055nnVjBwkDA3C&#10;VIU4rKrUaGqbFbF9NGXbGLdcMU8YYM+SMcY+26jCxn0zIpYh37KxxoV7ZhhBaiyNnjhUhNFhRSNl&#10;8ozKHvGV0FC6pDP2Nd9ztEHs134e8YSGDxpp1lGR/dTIw+jKFXcsCoc1tc4ydl2XWCMJygVjXFhU&#10;YGy/uk67zqohw0uFq64x0sZ/6Ryj5fC8iHhWoSE8Yfpw7bpUhDxgbxRkQmyMGcZCssZY1wOGBg81&#10;KxGllc1TjBBVosUlhcaM+hpRwaPnVVRcYAwdUSrU0GgaQruGVZUZ26+JXnFdvHeGMByFRQ7R+9bF&#10;Udp21XzTMNxoVvCX39bdo8a5YT/wwz10+yKjrKJIGJGFK8YaY6iRofYTT9k2xqsDZ1D6TKDrPrWH&#10;aHc94hcUOoSBg85ZN16EqXhbDsyOWhmPosZY2y3Re8/lg4rEfmBU4CZqNMdMHiryRmFhgdhO3QaB&#10;/yJqNBTS+WL5kg6fOHfrtvGUTWM8dXaVMKhnzKs25iyoDWvQkGJjz/UNEXE3759lVLoqRMOQDmkc&#10;IIM8asIQkS8nzRhBvWR9AxXGU4086YR9Kc1bVGtccWd3w0YnxEO6obftHG2eC6QaV0gPLI+a0F0+&#10;3EtGG2MpDdVyImJjzDAWkjXGMFDjzxjeQ3ZjjNY8KhFUqsOry0VY+y1eY+3WacaW/ZFD3HYVUS/i&#10;HDIsunXQiJoy0aOdOrtSVAq6OBDOtaq2QlRoiLfDZuCLSwuNEhL8FYOLqcc1U8Rru9kjjII1bjzl&#10;gjGO1hOl3UUsz1ngEj1ONEYmnjnCWLF5sjAYGMmAC7nP1Y9cjKgpF40b3brFq8eJY1lvMVh7tFbh&#10;+DM9TmPe4pEijrWRh31MmVUV9ltd9DBbb0qux51NY+xbNkYbjnxpD4OBxigTGkIuMoIYERheXWbs&#10;vLbOWB08w5jljbytoHTR7jONuQtrtesgOn1jU9ssYxXlkZIyswEayyBjPYwxRiomUf5QDTpIrC9w&#10;iEYt9oWGGdIj2fICsTFmGAvJGuNEe8bovdSdPVK0rA/dbt73GjysRAylomJY6Z8SEV8JlYTv/DHG&#10;CGnAdaLTNtqoN4AKQfhj9NQQBz2HUqo4ll40KRy+9MJJ5raWe6RrQtNE7wMV/i6qiCrJ8EyZU5nQ&#10;/bhcMMaVznKjmnpVdtHuIuIe6PCKinb6/Orw8OYOqvCRLrN9roi4dhVQpTuSGje6dRjRsB9LJ6Qx&#10;4p0xt8qYOqfKCB3qHoJtp7TEugA15rCMfHQGxakZNchwjRlsLLlwYjhuosqmMZ5PZQD5z67h1KC0&#10;xkPjAyM2SIfZXpex+3pzRAEGL95wPww+Rp106yA6/R6NHYwuWeOokYxBQ4uFax/RGDS0RITDD/cg&#10;nSsas8hLSCM0rqzxExEbY4axkKwxbj44h1rq1Gq2yW6MockzRohCi5Z+9cgKqoS6KxUnVay6IUzc&#10;Lz5EPSXcN0SL3L5+laWVrlQfZbgbPUC02HGfG/e0lTHe3D5LbIfhWPs2qPCXbZosKn8YiZpRFWQY&#10;9D1Bq/KpZ4yKFZX9sBGl4Qe91P199FJHUc/YGl8JDRsMaWMkRPdE/NBKs0K3h9uFc40Wr6ikQDTa&#10;7OHrtk0zhpLBmEM9QIxmRDtHnfKhZ7xhx3TRmJowbZgxduowEQYDh1s5fipz62m9Nb5VMOzzFo00&#10;Lo/ysBedfoQxRmPT2pNGIwxx8JzGxXvN0SFr2byky3zOYlXALI84V9xmmk09dZQThCO+uhWUqNgY&#10;M4yFZI1xIj1jGN+xU4ZShW0OhS2QFZLqYar7kRfuOlO4Sujt1p8zMryM+4j2h4UGDy8xptfVhJcn&#10;TBsuKgprHCVU2riPCuOOoW8YYzwxjfgIVw0JdV6o8IeRQYF/OPWKt105XxhyDLlb96tTLhjj6fU1&#10;opK1i3YXEVfdC4Qhxq0D/GfrcPL8s0aK+4LWbSAMUSvjPWVWz4e8kF44VryRhCUXmKMS9nAM05bJ&#10;RoFVeKIY8dEAUNvBjTYEblc+GGMYRJQLjC5gGQ2fCroeaj1GEDZrbu/gWk+daw7pNzTqby3Q6ffo&#10;GS9aNTa8jPvICLOuV8YY1xjD0rh1odYr4bkQ5Ancz567oFY06PDwnj1eNLExZhgLmTDGSur1JTzI&#10;BXfM5GGicKOHvHjluIi4uM/oHD04IgzCQz14CEstl5YVGbstBR4PuSCsjYyKClPCO83oGaNSqx03&#10;2Fi+ZYqxyj9VxLcKQ20w2Og9K2OD+9ow5hi+U2GxlC89Y1TyvvPGGAeoUYJlGGO4aKTAVQ+32SvV&#10;5kvmiGOo5bNWjzea2iLfNRcVNx2rqLjQOO/iSdR7KotIOyWMliCe9/wxZJgnip6fa+xgEaYaEA3y&#10;KXcIBloZB8RRw9xqfTxl0xi7xg4y6qhxY5e90YHheTRm4Me1neXpeX9Y98YCRpJUowT3d1U6WkWn&#10;Hy63526YKJZbLb1YvKqGMOTzAyd8wo/rDUOPRmyls+f9bfSi1TZoQOw8UicMNvKJPW40sTFmGAvJ&#10;VPi4nyjuS1Kr3i7aVUTcKld5+EEe3IdS4ZNnjhDutHnV1Cs1H6jC60PnkqFXcewaTAYRRjnRnlA2&#10;lG1jjEZGosPUqGTXhqYJP7aD6z1/tLiXCb/qnSnhyXbP0p69LvSuFywbG9ETRhqh0YU8gR62Nb5V&#10;6AlWuSqMWjLC2GZmQ4140M4qxINhth4bw7XY90W7e/bcoykfesZ4rgL/FX48rAUXDVY8BGkNswrP&#10;Pdjv/RaXFBh7b4hsSNHphwWDvk7z5DXu+4r15CIOjDEa39ZtIWXscb9YPQ1+Zn2NMZ3KM24xJHPv&#10;mI0xw1hIpsKPJfskHdYHo6y9I+t9Y7WN7v5jvinbxhgGC5N4wADaRbuLiIuKVD1UZ12nRjcwnK+e&#10;eIeB2EW9HhXHLqzH0/LocevW54KyaYzRW12+aUoPDR4aeV8cQ/G4Fw+/1VDjiXe4SJMLdnbf1lm8&#10;alz4ITe7sI27cXRCE4akqngPlSUiNsYMYyFdxnigK9vGmBVd2TTG50eZrQz3gK3LQ4aXiFsl8J8x&#10;tzocjvuxyo8n4+FOmD4i7q2T8zZ2vzmQq2JjzDAWuMJPj9gY566yaYxZ0cXGmGEscIWfHrExzl2x&#10;Mc5NJV1m3nA4rnrT4bgdftoK05cUUNi3xUoCYdKbNG85HFWkoVG0H8eSURkmI3CFnx6xMc5dsTHO&#10;TaVijP9I+psSGebPW5chGTUmFK9FesPQvt5PZ9KgE8X/PblFMirDZASu8NMjNsa5KzbGuamkygz1&#10;Tg9RzMlkGNvJf5g0hgzocayjsH+ISBZo/TRafw/pXTrRvs6UUQUU9mvSE6SXpKv0AlyKXyOjMkxG&#10;4Ao/PWJjnLtiY5ybStYYjyKj+BAZ3q+T+zhE/m9Y/OSkDm3cAZfOppj29aL0F5H/b3TsM7DMMJmE&#10;K/z0iI1x7oqNcW4q6TJDMSulV0BG8qD0Yl2vCh8Z4+NkeP9M7h9Iz5D/P9JF2J/oWCEZlWEyAlf4&#10;6REb49wVG+PcVNJlhgzjz8gwPmnRy9Zl2lO5jJo0ZGz3w/CSO4v29V7S07Q/9IxxzP8h/0QZlWEy&#10;Alf46REb49wVG+PcVCrG+HUylnVKZCRP2ZY/JqMmBZ3BCNp+Ke3/T7QP3Du2C0PVk2R0hskIXOGn&#10;R2yMc1dsjHNTKZcZ2qIchpMMZHiYGpDRfJf0xuU/Dsdc6UWveDNpKmkl7eP3FiMsRMdLW8FmmGhw&#10;hZ8esTHOXbExzk2lVGbIYK4iQ/wMbVUAY0zuCFIN+beQPDLOMjKiz8UTxVuA+OT/jtwOxvgzJPuT&#10;18mdJMOkAFf46REb49wVG+PcVFJlhgzlFWQYn6PYI7BMbhGFXSbXjSMD/SP4k4X2U0D7vRF+GOP/&#10;OhwXkzvFKoqT2EkyTC/IpQofn+2zflTi0G0Lw5/4gzCBvu4TcbEUb5/pUn80xvhUIa4dXBVmvZab&#10;2meJz/2p5UQUb5+ZEBvj3FSvygxtVUyGcpZcTBnsR3oFtFwqvWHoOH7pZZiMka0KH59po8ML4Xu2&#10;qJzLKoqNs9eMD3+dBt98VZU2vi2Mz+0NrSw11m8zP/9nF74kg/3he7pYjrfPdCrfjfH4qcPD6eEc&#10;Y35XuqyiSHzCr7CoQCzPW1wb/sD9bK/LmO1zGnMWuIxhlCZqP1bh04rDKsvEPtU1j7XPTImNcW4q&#10;3WWGYfKavqjw9x7DpHJmRW/9hCIE44qPl6O3iu+ibmydaazYPEV8rWbrld09JvSKYZDxsfN9N7qN&#10;sVOGiQ/SYx0M+4FOrzFldpWxbNOUsDGOt890Kt+MsdVQ4nqq8BXNU0XY4bsWG4WFpsEsLDTjjJti&#10;fuIPaqJrOmhIManEWLRirLH7uvrwdmMnDxMfsV+/fbowwghXxjjWPjOlfDTGyLO4RvDjc5fbr54v&#10;pNaPnjDUvK7yS09IjyUXmN8E33mk3qgdP9i4pMsX8xvgKB/br+7+PGasfWZCbIwZxkJfGON5i8yP&#10;zK9pmSYMp3UdllWBx3dY6ZSo5zvdcJ87WlQUrTd2fxcZH7M/eNIn/Kj0EXfJhRONkePND9FDVmMM&#10;xdtnupRvxrhm1KCwIdywo/tj8zCk+N4x/FNmV4prd97Fk8xG0A3uCIOw9fA843zLp/qGjig1zlo9&#10;TmyD9FHhWFbGON4+M6F8N8blg4op7w8W163+nFHG5fLbx4iD6w9jXV5RHN52el21aPRUUwP2slsj&#10;vzOuNHnmCKOCGlOqrMTbZybExphhLPSFMZ6/uFZUJEoqHD0z+xAnKm0Yg0bqWTW1zjIGDS02Dt2h&#10;/0i6Glptv6XbuNqNMZTMPlNVvhnjouICY8c13b0iaEUzHlVx9KjAh1eVGQc6vD2G/O1CIwfb+84f&#10;ExGOMGWMlRLdZzqUL8YYoxWFRWYZGVFdHjbGSpU15eHnJjAqtJ4aUasDZ/S49VJM+X/clGHGpDNH&#10;GOuoAdy4foJo9GL/2LdqKFnLSrx9ZkJsjBnGAgrDoTsatYUlXULFv/v6eiN0aJ6oDBCGSkV3rxGG&#10;EsYAFQkevkJvWPfQlqpYxp/RPVwN6YxxovvsjZa3Xml4/Sf/KS5qGsi0McYQ84rNU4X/kk6fsYka&#10;KXTYHoZ48erxxlqq0PcfN4f80RuO9tAW0hSjHNhPtJ4xlMw+06GFod4bY0+g41/bb2jS7j9dgiGk&#10;Qwk/GihWY3zpqQViHcoRltH7rR07SNx6CR6aK4z41NlV4fjwH6B0Vcsog+hho0GqwuxlJd4+061V&#10;7ZcbvsDJN8UFZpiBDir8AyeXawtLujRvkdkzHka9IbgIg2sVwjB0tkU+zKPuQQ4Zrn84CMOpk2dV&#10;hoer0cvCMGlv9tkbLd19veELdnyF9p8WPMHO45k0xgdO+MRQJh3K2LB9urh3D7/SzmvrxIgDerBq&#10;m5Iyc8jfWskr7TpiXlv4Yegb100QlX1v9pku4Tq6A6fEK6ip4gl2/OriK/Zo958uLVg2Vjw/AX/k&#10;PWPzvrv9wcWWK+YZ0+ZXG2fMrRLXFo0hdRvHruqRFWIfOyy3BHQN12T22Vudt+daY0GgM6U3khim&#10;3+ELdv5+w+Xt2sLCSlyo8H1bTvnkZe019YGus7HPK+/WH4+VuHAdF/pPTZCXNiWonDycycYRpBqL&#10;W6+cJ3qlyhhjiBkPyeG2grq1IG69lJiGdEaDObowoqZc9KDV/pQw8oH9ooGkntlA42nB8rHiqfZU&#10;9pkOLQh1Gj7/yd3iAjPMQMcT6LwclcwVd56tLTCs+LqAGjO4hvKSpg3sc+/x9dpjshLTxVfsTUva&#10;eEJXV2M/l956nvY46dJ5F00SD9ddTr1h15hBIgzLViFswvThEbcUXGMGixEOtWwV4qp12B5D3Qjr&#10;zT57q9YTa0W6zNtwTMzhwTAM4fF3/G1RywnuhaWgS04tE5WK13+ySV7OtOEJnPwi9n3l3dxQSkWH&#10;6brh+i3wd+2Tl7RXeP1dPzfTQ388VmLC9UOv2Bvoul9eWoZhFN5g139R0Vx++xJtAWL1FB7oEYY4&#10;0PmovIxpxxPs/NdZ225hA5CkYIgXbztOaXPyb/JSpgVfoPN1NFwP38UNpFR0xZ3nGAvp+lG6vCYv&#10;KcMwdjzBrldhXFDZhK7zG/tPrjQO3rqMZdH+rlXGBZe3mT0ukifYcZ28fJmh8VgxGft/41htHWu0&#10;FRwrUrtvvsBsJAW7/u5wNBXJK5k2fIGuf2L/m67caVx+BzdeE9Flty81LrzMLDe+wMk/0GUsMK8m&#10;wzBa3JtOzfb4u37mC3X+AwUnN9QlpVvX96Le0Z+9wZP3yEvWJ/j8J5+wnsPSPdcZy/Zdy5I6b8+R&#10;yDTyd3xWXrqM4A50dXkDXa9Zj5krWhTq1IZnW2gc0TVrlpeQYZh841ftZd9+pb38iFwc0ODpU3fw&#10;5Nd9wc6nckH37537H114NuQNdd3vCXRcKC/VgOV0e/mfDO55MgyTTl7e6ah6Zf8gA/rWRkeFDGZy&#10;BJE27WVpeUCK6T0vt5btlGlyXAYxDMP0HuoR/0YZY/LzBAE5xOm2im+otPlN0DFYBjNZJFxWSL/a&#10;4xgkgxmGYVLnpX2l662VC3R6b+kZcjWTRYxjjsKItGkr+7NcxWSJV9rKvxSRJu0VP5erGIZhUufl&#10;tkFvvtw+6C1VubzcXiH8cjWTRV5qK/9hd7qYafTS3tINcjXTxzx3wFEmy8g/re6vW0tnyCgMwzDJ&#10;c7q97COoTF7dV7wArqhg9pd1wj3dVrpRRmOygLHHUWKmQ/kvhdte/puX28tF5f/TJkepjMb0Iafb&#10;K14QabHfMc9MmwofN14Zhuk1L7dWfIsq+1fhR4WiKpVX2sv/dLq1/G3wM9mBKvqnkB7P7HHUqLR5&#10;cbdjlPC3V6TtYxlM4uDaU7n4/AttjpHCT8b4dFtZl/Bfwrd2GIZJA6KSJ8lFJstQT/ht1FB6u+mv&#10;eE2lzYv7ypb+oskxHH4mO1iNsQxiGIZJD2yMcxe808ppkzuwMWYYJmOwMc5dTreX/ZrTJndgY8ww&#10;TMZgY5y7nG6v+AWnTe7AxphhmIzBxjh3Od1a/mNOm9yBjTHDMBmDjXHu8kp72Xc4bXIHNsYMw2QM&#10;Nsa5yyv7Kx7ntMkd2BgzDJMx2BjnLqdbKz6OtHlhq6NcBjFZhI0xwzAZg41x7vLKvrLbpTEeIYOY&#10;LMLGmGGYjMHGOHd5pb30CqTNz3YPGiWDmCzCxphhmIzBxjh3Od1aHkTa/GZ/2SQZxGQRNsYMw2QM&#10;Nsa5y4ut5YuQNq+2l8yRQUwWYWPMMEzGYGOcu7yyzTGOK//cgY0xwzAZQxljFiubOt1a/qouPBfF&#10;xphhmLSj5j9msbKu9vK/nG4r/3Ou64WtjpGy+DAMwzBM/+BXB8qvgjF+oW0QGzmGYRiGyQZsjBmG&#10;YRgmy7AxZhiGYZgsw8aYYRiGYbIMG2OGYRiGyTJsjBmGYRgmy7AxZhiGYZgsw8aYYRiGYbIMG2OG&#10;YRiGyTJsjBmGYRgmy7AxZhiGYZgsw8aYYRiGYbIMG2OGYRiGyTJsjBmGYRgmy7AxZhiGYZgsw8aY&#10;YRiGYbIMG2OGYRiGyTJsjBmGYRgmy7AxZnpLwcymY0Pm+DsqWbknpI1Mp5xm6sq7yuZtODZC9x9Y&#10;2VfD2mODZFLlFDgv3fnmo55uH34DjPF7dyyarlufb2po6hze0LCnRCYVkykWbLytwufv+sOC0EmD&#10;lfvy+jt/Qoa5VCZfzuANHJupO19WbsobOLlXJl02KfAGO96hO7981vGdFxjPtw83VoSOatfnsxqa&#10;jo2XacekE/fmzlW4wOeEbjG+0zreQGuOlbt6eN8M46zQCbNQNB8/UyZj1vH5TzyBc7p462HjxfYh&#10;2nNn5Y6u39FEeahL5CNHU1ORTMY+BQ1Kb7DrvwvpPO7atUJ7nqzc0Yv7hxhrW64VecYX6nqvTEYm&#10;HXg3dczDhT21c4324rNyV63bdolCUbfl2GiZnFmDeljfRcX+kzan9lxZuauzQ8dNg0w9VDM1+4wC&#10;X+Dkm+eGbtaeFyt39c3WCaIh5wt2HpdpyfQWFMIrtwe0F7wv9FJbBSoB47tby7XrY2nTmUVGfW2B&#10;cbq9osc67HPN5MIe4fGE7c6sLtCuy0U1bT2kKtKs4bm4cxbO4cnW0dpz7Au9THmATsX4ZjD5fBSY&#10;VWTUuQrEPuzrsM/lk1LLR9Oq8icfoWfqDXTejPTsKzzBk0+iQtedTz7rwc1lol7TrUtVp9sHGd9J&#10;oY7MpB7YO0fUPbO3XFMrk5RJFZ//+G5cTN2F7iudN6HQWDg6+coOmjKiwPjsRWXh5R/t6M6s9PeM&#10;p3ZXGEUFDuP+jd1x4gnbfX97egtSpoU0rNtyfK5I1CzgDXa8uHHrFdpz6ytdNI0aZiNTy0dnVEbm&#10;oye3R+Yj5IeSwuTz0bdbcqvyjKW7dq3s80Ydjvf11sna88kXoQG3bkqh8YtWs86oKHYYBZT2M+I0&#10;6GsqHCKPFFO+SkSFVI8h/s+oTtPtL1ta3nLUcAe7vicSlEkdb6jr54FtB7UXOZNCRkSmgrGk0xB+&#10;nUopE34zFL1Cw7Z2Pe4348OP/Sv/E9sSqxit2yWq2kHmsYeWOrTrMy3cw/EFuh6ic8gKqFS/0TpJ&#10;e26ZlIuuu8ordBoReceq8iKH8bVAdEOKbe16aLM+H30rRn60yrpdLKEyL5YVLYRRmSu8xcYvZeXe&#10;l0I6ugNd0+k8Mo7Xf7IJx9OdR7Y0tESlfWReGVFmhv9oR880uXphsciHX7eMyOytKzYetu2jt7pm&#10;YYnRdGaRdl029cE9i7I+MtcvWBDq/Ot7d5+jvciZlHNQgdFWX2xcu6gkpugUjS836yu/1roiY6Vl&#10;+PCGs4qNYRZjiG2f32cWHgzxvJBg5YbtfmDpGcWTGmZX+r9gegthItq+rQ1DjH+n42cFFMbn2kdo&#10;zy2TSiYffbFJny5HFxcbiywjMyeXlAjjrZax7dN7UstHiTQAP7yuLJx30ANSfujp3Ynnw3RIPMzl&#10;P7mYjp1xFgS63plrxnjj9KLwtUdaI+zu80vFMnq79vgQ1j21q2eeQLg9zKoXqd54bm+FyE/RNJga&#10;B18PmHkgV40xHuhiY5wGvP6u1x7eN1N7kTMpVKKJDOHRKWrD1f3BtVMKhYvlkYMdhm9UoVE/soAM&#10;dbEIhwuplu23EjxmMsORyyaa54Ahc7jnTkhtqLQ3OrSjJasFIluVam/zESpcrMOzB3CRj8YPcxje&#10;OPnoq/74+QPxPnVhqXadVVZjrMLGDjXz0v6G4oi4mdbZ4gn9rkY6dsbxBLo+nmvGGILRpdMzPrLO&#10;TDs1avGgHCmxCh2CtVP1BnLNlCLj5rNLtOuUhlDnAR2IEeWxhbi5aowhNsZpIF+NsXOQw3hM9pin&#10;VxVQ69Gs0NR61VtF5arCEhEeBMN2yVSChRRfHRsupFrVfSU2xvr1SnSK2nA04L7YZG6Pe3xfteUj&#10;1eh7KcV8FJoVv/LUGeMLzzAbB8EEtk+n2BgPMm45xxxJgVSvGM8L2OOhZxutt6yE21Z3LYvdINM9&#10;fAph/9ZlNsb9nGwaYzxYhVZnLNEpardXw0I/31tBmbRY3Fu+/bzuTL9tTpEx11VozKQK9vEEejFK&#10;GOpeOsGsCHXr7cIwE+JOoJ4MljG8ieUvN/ftUPVANsa9yUc/2dmdj44sKhYP33Sd252P2uuLjJWT&#10;i4xZNQXGI1uSy0dnjzVHTHTrrbIa459Qvr7vgu5h0WfpvHTbZEpsjE2hPqFTDOvbmucEMEryA8uD&#10;nvNdBcKQ241rGe1r8ZjCqA065N/W+uIeQr7FLRgVj41xPycfe8Zf2lQW7o0OKXEYb6OWJ+6tqPVq&#10;6PFJWVBqqffzyQsTq0injHAYD2wsM8aRcX16T/zzWzDaHE5UvSs80Yvl2VR52+NmUtwz1q9XolPs&#10;EfYNqmBVPkL++cCa0h49IKz7f/J1EvSiP0hxrOujCfkItzomj4ifj6zG2CpUxs/ujf/f0ik2xqa6&#10;zu3uHSMd7OunVUY+sAUh7vWL9cPSyDtYj1E83Au2rsMwte7tDcT/oeWBMTbG/Zx8HaZGqxQuHtBC&#10;hfqyZVgYBQX3ANUyhP18KcoDPErKiMP/+YvLxPvL9jh2IT6E81BSYdGGnzIhNsb69Up0itpwdT8O&#10;6YaeqDUfTRzmMNbY7gdiP2isWcPsUvkI+3qUetPx8pFumLrOZfaqob7MR2yMTdHpRcg60tU4rjA8&#10;oqL0vxtKRQ/XGmYX6hS7AYdiGWPkS7XMxrifk01jfGppiXEv9TRiiU5Ruz30013mKyHq3gpanNUV&#10;DmPv/J73e1VLN9Y95PMnFEZkdgxVxXqqGpOUYJ/R9IU4xj+dGsjGuLf5CLc8UJHa85Hufi9GYbCv&#10;WBM6IB9dcEb3thimjDWhjc4YQypM9cz7QmyMBxltdeboFl6/XDvF9EO6uEqoh+yTzTREmYzILjbG&#10;jCCbxvhdK0uNz1xUFlN0itrtj55VYsyz9DgwLIyhxlj32MqKuh/6sgsVsP1YeL8ZYdEK1FynOUQd&#10;ml0kCooSJpBA+KjBsQtwOjWQjXFv8hEaaTMttxTmuQqMQXHyEZ6AfXSLPh/BoONY1h52vHykM8aY&#10;QEKF9eV944FujNWoBqR6v2r5vgv0jWu8Z4znA+zhaESNG4Z0jwy3S+1fp6Nn8T3jAUM+DlO/b3WZ&#10;eODmqV3loneMMDz0otaj1/JTWqeWbzm750MVVqG3jKFuNVmIVb7RheKhHl2PGucG2SdneHZP3w9V&#10;8zC1fr0SnWKPsA+REYShw0N4ieSjG6gBGC8fYTRFZ6iRj9B70uWjaPeMob6elnWgG2OMatCpiQa1&#10;CmuZbb7eBtnTH414zIxlDbNqy8xiY82U2K86opNgfRAsmtgYp8ibDscn3nA4fg//Ww5HNZ1pEYX9&#10;i9wChJE7Am4q0P5CpDU60TFeIrdCRo1Lvt4zhmZTz1T1QPBeprWgwLj+Yp+5f2UcdU8zYhtUoJ+J&#10;8YAXXk/A9s9ZHqZB4cHQJgqSNa4SHgTC+i9tiv8f0yE2xvr1SnSK2nDIO6og3KCaODxyfmrkjWfl&#10;A1gqH9kfwIGQj9Bo+9Da6PlomHxH2f5A1y9bzQrZKozyfDrBhw7TqYFujFFmIfs9YVWecd9XhaGx&#10;hjDrK0jIO7/YV2E8Q3kF95E3zzCHuT+VhrRkY5wiZBT/Q/oK6QGp50hfJH1JhcmoSUPbniSDW6YT&#10;NQB+I6MlRLaMMSqbeWRMPaMKY4pOMeK+iRJeM0FBUMvoeXxsfXevpqOxJOIpSLRurbNzQdgvjPb3&#10;tvXcv10uOY8snob8fwlOq9mXGqjGeDilaaL5CKMp9u0faS6L6NmcM64wPNkD9M7lpRH5aF+d+cqJ&#10;WoZQ+SabjyaPcORkPuJ7xomL/kIPIS+hUeamPPdhmY865fMq9u0T0T2rSo2nd1eIEZxLGorYGCcL&#10;GcQn6MzEt0HJ/xPSYVqeKJdPq3WpQsb4w7SPs8h9Bxngs+G3LCdVkLJljNH6T7RHY5/f9z2UQRH+&#10;f5YHJjacUWRsnxP54Bbi2JfVvi44o1DcH7Suj6frFpeI16SyMWdwPA1UY9ybfPS5i8189FXL7Yld&#10;84q1T+Lbl38se07+mXifPfl8VEVGORfzERvjxLWV6hvcurA+HxBN8SYHiSW8gueSc99/+qK+Hy1J&#10;RDlrjAEZxidJf7XoNeWns07qxCmyGNpW0D46KKwcfjLuYj5iWh5B/m+SS430xMmWMWalVwPVGLPS&#10;KzbGrFSU08aYeqgr1dCx1OXKT2cdPnFa3k9aT1odTYhP7tlyExjj42R4/0z6DoVfQ+5vpfuUNMgN&#10;Mmpc2Bj3D7ExZqVDbIxZqSinjTEZzBelV0DG8qD09hra1w4YY/jJPU3HepquRCWFHyD/HeQXQ+KJ&#10;wMa4f4iNMSsdYmPMSkW5boz/bdGbpP/awsh2Jg9tdAZpARnhF8m9lnSNVbTfx8mdIKPHhY1x/xAb&#10;Y1Y6xMaYlYpy2hgryDBOI8P5LLkRPWNaPia9SUH72kPbjiGtJMP7TnJhkMOiK5LURWFj3D/ExpiV&#10;DrExZqWinDbGdGYlGEImA+nHMrkHSWspbAsZ0U+Q/wwRMUlo+5/Bpe1hjP9J+rtVbIwHptgYs9Ih&#10;NsasVJSzxpgM5t/JWF4sF2E4q0iH5SKWPdKbFPRvi2jbBfCTu5KO8z0ywI9bxcZ4YIqNcXLCO+kP&#10;bsrN10SyKTbGrFSUs8Y4n+ivxhjzwZ4np7b78NruSRygH+/o/nTepy+MXAdhHb5LbA/PZbExTk50&#10;ykK6dVYhH104zcxH710VmVcwGYPKR9YJZ5SwzjoxTT6IjXF6dJnHnELzCm/k3Ad4t1x9K/nkkp6f&#10;W8RkSLGm18xVsTFOA/3RGP94Z+TXlN6xPLKiRNj5E4uMC+S3h61fZjqz2tzGOsVdPoiNcXKiUxbS&#10;rVNKNB8FZpkVr/XrSiof5eLEHrHExrh3QnqrBhrUVt9zIqKpIwqMY4vNWbnwiU21bonsPDy9J7/y&#10;DMTGOA3kqzHGHLCYG1Y3cT/9LaOYWp+1g82vJ1kr0Yc2mZPyq1mb4L93tbn+7RQPyw9tjj+jU66J&#10;jXFyolMWgl/lJV0c5CPMew6/NR99PWjmI3yRScV9+zJzPeJh+YGN+ZeP2Bj3TpgRDqMhk8jg0l+M&#10;MMaoqxD2oKxf4G+tM2d7e5iMMpY/sCY/b52wMU4D+WaM0WO1tjwhfHfUapRVy3KKLBDWShTfGEbY&#10;tyyVKCZxR2UM/8rJuTn3azyxMU5OdMpCS8abeUTJmo/UlJf4xCLWWfPRV/xmr/n/At356KPrKR/J&#10;Cve8CfmZj9gYRxe+OUynLaTyiW+UmTfUhyCekPONLxxj9nJ1PWP1nXP4jywyvwQGP+ora9x8Ehvj&#10;NJBvxhhzUOOeysXTi4wTjSVhw3xscWSmh3TGGEIYvkXcOM4sMJiEHfdqejN/bLbFxjg50SmHhd6M&#10;8rtH9qwQdcYYQhjy0fKJ/ScfsTGOrUnDzbwQmlUkRlTg16V3LGOMzsOOueYtsie2VRgj5bzT1nj5&#10;JjbGaSDf7xmrD8d7Rvb8Zmg0Y4wWLr7ghEr4e+RX92rwIYHvUcv2gLvYUJ/NyxexMU5OdMrhNMcy&#10;PmOowuxxoxljfANZ5SNUqtZ89KMdZj762e78ykdsjOOLTl1ownDTfay5ZxpHM8bIZ5XlZp75Cm23&#10;bY5plL/TUi6+Inepp9j4yc78yjMQG+M0kI/G+DMXlYafSFSaWZO4Mbbqi03m/b1715QZC+SQk+op&#10;vWdlz6cdc1VsjJMTnbKQLsz+qcVoxtgqfNITcd69ssxYJnvKKh/dtjR/8hEb4/iaX2umL4R6SBcn&#10;mjG26qld5q2O6xeXGPsbTKOs8gx6zrptclVsjNNAvhlj70izYsRDEqsmF4nPmGE5FWOs7tWMH2oO&#10;TcK/mAoR/EOox4Nla/xcFhvj5ESn3CN9VZj9k3jxjHGsfFRFvSAsW+PnstgYx9eowWaaKlmfM1CK&#10;Z4zxyhzWl5PxxTK+gTy8zPRPlEPh1vi5LjbGacAT6PjXp/Y0aC9wLkrdI1YV5oObzJ5tKsYY926w&#10;Xi3Dv3G62SJ1DsqvArF7217DF+x8i845K6AwvtA+VHtuuSg6ZaGfUu8Eyz/c0f0akz1uPGNsv+cH&#10;/2r5IGC+5SMyxIbH33EOnXPG8fg7P5ZvxvirAXMEBD3YatnQunpBT4MbzxhPqzS3VfUY/BOGmflE&#10;1VvW+Lms0yQ2xmmACsQrHTvWay9yLkpVbhunFxpXUSGAH7Ia42LqNatwqz64pnu40D/LHBayfpi+&#10;RA5944ltuOum5s9Q0ZatlxneQOf36byzAgrjj1td2nPLRdEpa9VuqTztt0KU3ruqOx9tlw/iWPPR&#10;oBIznspHC0b3bCjmqpCOdVuOz6XzzjjuLZ2X5psxVnkCzwjgmQH4IfVqnGrg23XNwu58dWqJ+Y7x&#10;I5ZXKEfJ1zCRZ9Bbxn1ltS7X9a19E9gYpwNPc8fn86lA4AEIPE1Npy6eYrxnValwZ1mMMdbr9ME1&#10;Zs8GD9dg+yt9kffyULiwL6zLt5mTkIaeQOcmpGk28Pk7Xn/nrqXac8tFIZ03nVlkLB7bff9vghxm&#10;VkIe0OWjd8oe8tO7+1c++llbtVmprjxQRufeJ+B4z7RVac8n19S1xKxrcOtBhY0ZUiDCLpxmNtyx&#10;TpdnVCNPPYFtb+hb6zXkmXyadKhl64Gsjsr1K1AgvrZvsvZCs3Jf79m1xKxEG/aUyCTtczzBE+/C&#10;OeBemO4cWbmv1aHrDLe/6zWZpH2Cx9/xt81bL9eeDyv3hfKOcu8Onlonk5TpDd5A57dwQX/Zlj/3&#10;/Fimftk+zOwVBzuPy+TMGnQOb6wIHWWDnIe6YcfFIh/NXne8ViZnnzB/U8c8HPeze+drz4uVu0I5&#10;XxK6yfAFTr4pk5NJB95A1+9QKL64dxZXpnkgpNE9u84VFSg1pp6WyZh1MFyFc/p523DtebNyS3iA&#10;aEPoapmPus6WydineEIdJ3D8vdv2cN2TJ3q2rZLyTJccnm4qkknJpAufv+sLqjKF8FDQjm3trByS&#10;f+ulIm0gpJUv1HVCJl/O4PN3/EOdI6T7H6zsqjF0S3c+op7NmRfeMkomX1ZAD9la9ywKdWjPm5Vd&#10;qfQR+aa5488y+ZhM4fZ3XuQJnPyVN9j1336hUNcb3uAp/bo81IJA54/qA8ez0otJBm+w4wO+YNd/&#10;dP8hr9TP8o8SNb4fG7vgsgqZXDnB+DVXV3r8Jx7RnW8+6twDH3xLF57f6rxVJhfDJMfK6x7+/coj&#10;j/xcLjJMUnD+YVJl9dFHjVXXPXSBXGSYgcvKIw82oUBAK488NkUGM0xCcP5hUmX19Y8+ofKODGKY&#10;gYsqDFwomFTg/MOkwsxj95Va882q6x/5pFzFMAOPFdc+/FlrgRC6/tENcjXDxITzD5MquLWh8syq&#10;6x9+C27j5ffXyNUMM7AQBeG6h/8dLhTXPSL8cjXDxITzD5MKK657ZD3yycojj5wQ+ebolw/CIK88&#10;8vB/ZBSGGThQJfoUCsLSSz5fCxdacuRLU0Qhuf7hj8poDKOF8w+TKmSE34TxhR/5BcZ4+ZGHPiPy&#10;znWP1olIDDNQWHb9w20rrn9kH/yqMoV/5XUPv3/ptQ/Ww88w0eD8w6TKqmsf+v7Syx4YAz/yDYyx&#10;CL/+kd9NPXBXn837zTA5h7UyZZhk4fzDpIrVGDPMgIcrU6Y3cP5hUoWNMcNY4MqU6Q2cf5hUYWPM&#10;MBa4MmV6A+cfJlXYGDOMBa5Mmd7A+YdJFTbGDGOBK1OmN3D+YVKFjTHDWODKlOkNnH+YVGFjzDAW&#10;uDJlegPnHyZV2BgzjAWuTJnewPmHSRU2xgxjgStTpjdw/mFShY0xw1jgypTpDZx/mFRhY8wwFrgy&#10;ZXoD5x8mVdgYM4wFrkyZ3sD5h0kVNsYMY0FVpiwWi9XXYmPMMJKVRx7+lK6QsFiJChWqLpzFiqcV&#10;lz44SlZFDMMwTKqgQuXeDcMwDMNkETbGDMMwDJNl2BgzDMMwTJZhY8wwDMMwWYaNMcMwDMNkGTbG&#10;DMMwDJNl2BgzDMMwTJZhY8wwDMMwWYaNMcMwDMNkGTbGDMMwDJNl2BgzDMMwTJZhY8wwDMMwWYaN&#10;McMwDMNkGTbGDMMwDJNl2BgzDMMwTJZhY8wwDMMwWYaNMcMwDMNkGTbGDMMwDJNl2BgzDMMwOYM3&#10;2LnfF+x4YKAJxrjxwId+qlvXn+UNdB11NOwpkcnPMAzDZBNPsOvVBaGTxkDVkks+Yize9XbtuoEg&#10;X7DrP9Oaj9XI7MAwDMP0Nd5Q5xuokNcdfcjYcONjrAGm9Tc8aizcfqcwyvM3Hp8pswXDMAzTV/gC&#10;XX9BJbz+hi9rK2rWwNE5e98tDLLD0VQkswfDMAyTadyBrvWiR3zsEW3lzBp4Qn7wBk5+RGYRhmEY&#10;JtN4/Z0/Wbj1Dm2lzBqYOu/gR2TvmGEYhukTPMGuP51/2ce0lTJrYGrd0YfZGDMMw/QlXn/Xa6uu&#10;/py2UmYNXLExZhiG6UPYGLN0YmPMMAzTh7AxZunExphhGKYPYWPM0omNMcMwTB+S68Z44dZT2vB4&#10;WtJ2jzY8EY2dc542PF3CuS3aept2Xa6IjTHDMEwfkuvG+Ozdb4NRMIpKyhJWQWGx2Oas7bFf2XJN&#10;W2CMnHF2eLliRK3YDlp26Ucj4uqk4qaqVVd/VrvfXBAbY4ZhmD4k143xua3vFoYL03TahfDzDnyw&#10;R/gk7wViXbwZxUoHjzAchUXGufveHRFeQGHW5XRrSM04Y9byfdp1uSI2xgzDMH1Ivhhj3TqE63qw&#10;kxdcFHUbpfMv/YiIg3dq7esGjRhpLGl/f4/wVDXjvB3G+Zd8MLwMYzx7ZVtEnFwTG2OGYZg+ZKAa&#10;Y/SKZy7bo123+tr7jYKCQu06q2av2CeGxUvKh8QUzgWau+ag2I6NMcMwDBNBvhhjGE67EH7G2c09&#10;wqvGzxbrdPuDPJtvEOtjDWM7p7iNQVWjteusWnPkCz2GyaNJHY+NMcMwDBNBvhhjGFC7ED533aU9&#10;wmunLYhpjB2OAmPllZ/WrrOqdNBwo2xotXadVSuuuE8bDjXue1ePMDbGDMMwTAQDbZi6fFiNsagl&#10;8nWpsiFVRnHZYGPlVZFPN6MnW1w+WDzQFevp6pKKoWJ7uHbhPBy2IW82xgzDMEwEA8kYjxg9zai7&#10;4Moe4Yi7aOutxvpjj/ZYBw1xThBxCotKjMkLN/ZYXzak0lgQOGGsufaBHsJ2Z+24MyI+G2OGYRgm&#10;goFijCvHzTTO2fOOiDBIvQZlD7cLQ9GjZ59rrL3+wR7rYIwXb9NP4oF921+dYmPMMAzDRJDrxti9&#10;6ZgwaIVFxT2EcEzw0SO8oDAhAwsh3tL9ka8xoZeMB66sYbHExphhGIbpFblujOeuORDVsCI81Veb&#10;IDwxXTpoRI9w3CvGfWI8KW1fp1PpoGExjbF96ks2xgzDMEwEuW6MId3QMESnH/PBqljCf8b2a6P0&#10;gFdfQ+sLCox1xx7RrrcK8YY6JxiVY2dqVTOpPiI+G2OGYRgmgnwwxtFEp5+yMcakHkv336tdpzSt&#10;MWjgoS3dOqvmrGo3ll/+v9p1OrExZhiGYSIYiMa4sKTMWNL2vh7hZ+9+uzFl4UZjcNVo8VoSDDGO&#10;MXrmOT3i9kZsjBmGYZgIBpoxHlw9RtwPxsQf2N6uie61xnmXfFBMiYn4UxZtEuHrb9C/9pSIaqcv&#10;Ms5cut04e9fbhPBeMxtjhmEYJky+G2P7k8rxhM8WYrsl+99vrLzqM8ba676kjWcV4icyY1c0rbn2&#10;C8aKw58y5q29VOwLOu+SD2nj5orYGDMMw/Qh+WyMqyfMjfpwVywl89oSlMhDXIlqSft7E2oAZFts&#10;jBmGYfqQfDbGrMyJjTHDMEwfwsaYpRMbYyaneMPheJZypMFi5ZLedDj+JbNor/EFO39//sGPaCtk&#10;1sDU2qMPsjFmcgt7Jchi5YpkFu01Pv/JJxaEbtVWyqyBqXPb3sfGmMkt0l3xMUxvoV7x4+nMk+5N&#10;x2ej4k3lQShW/xTygy/YeVxmEYbJPmyMmVwj3cYYeP1dL6EC3nDDl7WVM2vgaPGOu1WvuMDMHQyT&#10;A6DSS3fFxzC9IRPGGPj8Hf9AJbzi0H3aSprVv4WRkYUttwpD3NB8rEZmC4bJDdgYM7lGpowx8AY7&#10;70ZlHFbLKVZ/VwiS6R3seK5hz7tLZHZgmNwhCWO8Qbrgm6QzTG9MlpH+H6lBLEXnZVIyQ0abSU+R&#10;RoqlnvxaumA9aYXpZfKBTBpjhW/L8Vrf5o6JrIGhui1doxsa9rARZnKXBIzxl6V7gPQz0+s4Qppt&#10;eiP4EMlLGkV6jVRKgpFNpGKFgY/FRJKbVEUqJw0m/Y6kA8dWzCStIf0PyW68nyc9QvqjWHI4fk8a&#10;R3pULDFZoS+MMcMwTE6BSi9GxfcBUpfpdawlFZpex1WkaL3SeaRBJOzzB6TvkUIkHT8lzTC9jjIS&#10;etLRQKv2MtJpkgsBxIPStfNn6aLRcJYU9m/nF9L9q3S/Id350mWyABtjhmEGHKj0olR8C0hfIKG3&#10;CKOGnms1CcAYnyJ1iKVIriNVkn4jlhyOd5LQm9XxgnQVHyWtNL09GEGyD2XfK13F+aTHSDDYONd6&#10;0sdI+A9/I9l5moRhdAyTg1bp/or0W9IkscT0KWyMGYYZcMQwxoqtJAw7n0OCgXOSYJwxVKzjx6QP&#10;k94g/YH0OknHM6Qi0yt6vAr0ajFsbH3a8R2k60kYVsY+60gAjQUdiIfesAI99dWmN4JfShcNh2bT&#10;61hCusH0MtmAjTHDMAOOBIzxxaT/kIaRzibBUKFnHM0Yq+FgDFGDCulagbFWhvjtpEOmNyq1JNwz&#10;Bj+RLrAPU8PoopeL4e+90n2V9F7SMZKfhHvNCjQcvkjCPeahpGtI6NXDZbIEG2OGYQYcCRhj9B7/&#10;TZoqlsze8R2mNybR7udawX3gF02v42pSrGHhv5C+RUI8hf0YD5Bg5L8vlhyOS6QLGqVr5bB01QNf&#10;Z5IwpM2TAWQRNsYMwww4EjDG4CUSDB96x+BLJN0DUVY+Jd1YwAjCeMLQ414zzmMsKREwdB7N4Kv7&#10;1TD2Ks4q6SowbI3esIek/j/O+QkSXodisgQbY4ZhBhyo9GJUfBhCtvdWMYT7X1KxWIrOLdKNBoaL&#10;/0E6lzQEAQR63dNNb0zQEMA52w0s2E660/QKcO8Z973xNLgVDLkDnAfW4Slw1SPGPWs0FPA0OdPH&#10;sDFmGGbAgUovhYoP917jMV66mQJPVycK7nHHazzYSTY+kybYGDMMM+BI0RgzTMZgY8wwzICDjTGT&#10;a7AxZhhmwMHGmMk12BgzDDPgSMIYnyAlO9E6ZulKF2Ok2xeoh7sUeH8Zs3n1FuzXer893n43STcR&#10;JktXsU26eQcbY4ZhBhxJGGNM/KEm6oiFdcYtTHcJAx5tghCFdSIPHXja+VbTm3E2kvC0uBVMBYpZ&#10;x/DhC4A4iqPSjQdeBwOY3/vvpjfqfvHaFlBfm8KkJ9HAzGh4r9onlkwelu6F0rVPG5rT5KIx9gU7&#10;tnlabpolFxmGYdJLgsY4QEIvbg8J8z4PJ+lALw8zb2FmK8x4hbmfwW0k9Y6yjnjHfx/JbiAzifrQ&#10;hALGDD1NfByjEwEWEpkABbwiXYBGCl7PirZfvBuNkQC8boWPWChjHQ2cg9UYq2k+1dzh6sMaeUGu&#10;GmN8D5cNMsMwGQGVXpyKbycJ8zwrY4p3e/ERCR14hQgzZOH93NGkP5FgeK4lRQMGHlNuxgKTcKgv&#10;K6ULfEkKBhCfVrR/m9lujD9BwjA9DKiaiUxhN8ZotHyVdBHpHgRIFpLUe8xvSTfWfhH/pOkV4BOW&#10;+GQkJkW5kvQjksJujPHxC9BEive+d86Ry8ZYGOQtbJAZhkkzCRhjfE7wPNL7SZj3GUYAPTY7aiga&#10;n0HEfM8AH3LAHNGxwPST3zG9UcE7y4ijvhqVDqz/GR+1sGI3xmgsoJHxLrEUid0Yo1c61/SKUQL7&#10;0D4+06g+PxltvzDoaCigwbAcARIY52mkT4ulbuzGGNujQQSDrj57mTfksjFu3PceNsgMw6QfVHpx&#10;Kj4YY+snEPGJQ8zhrANDrhiixrAqHlTCRxfQ6/s1SQeGuz9Iwsck4OqAIb6P9F0SZutKJy2kp0j2&#10;/283xgDngf+1iIQGCe6Fw+i9TbqQAnExrSbm9LbeLz9Islfi9v0CfAYS4FrDYHvFkgk+BalmLFPY&#10;jbEChhz7xGcs84ZcNsYbbnwsbJC9geMz5WqGYZjegUovTsWH4VYMNaNniuFRDFtHewIYBhNGCUbZ&#10;anRmkzAHtB18/EH13GCM8TUnO++RLoZ4P29608KzJHVs+//XGWP8JzwQha9HWb/DbO8Z/4KkZgdD&#10;z9hqjHVPR0fbL9CNKmAfaABY0RljDL8D3JfGFKGxHgLLKXLdGLNBZhgm7aDSi1PxoVdlNyjrTG8P&#10;MK80jDV6ujCeGGYFeIDLDnqk9ikt0YPGfNXWe7jWrzSlq4JGL9Q6rzX2i+80K+zGWH1vGT1V9GSt&#10;PX27MbaeIx5gU73Yx6ULlOGMtV8daq7sL5OsxlVnjNUHN9CYuYKEUYq8IB+MsTDIe9kgMwyTJlDp&#10;xan48CUjVPb4qhLek8VTwdYP9yvw7WBlAD4i3Z9LFz1pa28Or/PoXpNCTxXHeQcJ2+wjqQe3rifh&#10;PK3GuTf8HwnnjAenfkZSTxyjd48HrNSnHQHu0yr+l7TB9ArsPf5dJHzlaof0X0oCZGPE+SuBWPu1&#10;g4ey1NeoniFhCBwfwcA1+hcJ997Vu8bWHjUaAT80vflBPGPsDpzy9LU8gY4b7MaYDTLDMGkDlV6s&#10;ik8DvnKk+97vBOlGI967xgwjiGeMYfyyJbsxZoPMMExaSMEYM0xGScQYr7r6c1rDmC2xQWYYplew&#10;MWZyjXw0xhAbZIZhUoaNMZNr5KsxhjJpkGvmN5/h8oTecExoTPmWj9MdfKqmIfgZudiDGk/ot9IL&#10;Cul4/62u24IJfKLinLl1JMU74fKGnnH5Wv7q8voflKu0VLo3j6txh/4Vb79Wqj0ht9MduouO8xzp&#10;77ScnmdH6FqKazp1ZXiGwFpfS9L1odPtv8jhaIz6DXSnJ/BVpyf0brmYNNXuwPQat/9tTk/Q+iCo&#10;wOUJfL/GE/yx0xv4N63HMy8Clzf4G/wXpap5G8X8/hTvpZqGwE+t179mfqhRensF5a/vOb3Bf8pF&#10;JhlQ6cWq+Bimr8lnYwxlyiBX1W9akIihoEr4G1Qpv+Byh/6K+LSMVwgF1e7gTbp91Hhb/jB8jr8S&#10;68hw/AyGH+Ei7tiNeDsiglpP8A6n1/+S09eynQzrL13ewEPV03cMdTW07JX7jzvZTI03hDcnYlI1&#10;r2UMGZuv1ngCm4Z7g5Nq5wZdLnfgnbr/oCBDc6rGG8RbHQlh3xeWReOCDL9j3oaINz7ov75KjY5f&#10;Iw41XHaj4UH//XkKu896ne2QIb6a/seH5CL2s4P+/y9ou7dcvqCaS15A4b8no/Z1sdCwdhClx+sj&#10;6vwT6L8PxnErJzeFpyOuqQ9sIiMdfjPE5Qn+vXJei3itlM5H94qm/H+BXWQ0b8Iyzl+siKCxuNYb&#10;vCdWA0MH/k9vGosDGsqFiRpjzEk9zvTGRD1BDX4l3XjgHVsdmAwD+8BTx4dI6frgAZ6gxocvdOB9&#10;Z/s6fIhBvVYE7K8zMWkk340x1Lj33Wk3yFRBP0C9w8NVDc1eqki/SwbUmie7mbC1vMYd+CgqcRni&#10;oIoVxqmo1hfcRobtUTPUBJWzkwzM4LkXkqEL/rW6wR9+qh/rpLcHokcJ10vG0h16nJafdHrIQNOy&#10;iKAB+4OBhX/o3M3TaFv7bHI9qPJtnkE9vw+TccGrggX4D7HOiyigc/kvXa8ryDh9Eo0ThJmreqL2&#10;RdfrNRhULLvq/XOGu/2THTObIuaFpwbOc+jZ1/pC36b/Oh/n4vK1HKzx+D9cVR+wzpYXATWOPkbp&#10;9Q+Xt4WuMzUo6FpR795PafEhugaR8wmY6Reec4DO6XUcl9w37f+bGh2X0X/EREAC+s9/pHPBx2O0&#10;xnjYzI1VdDzqMdN5e0P3Vjb4F1fVbZ4hV0dQ4w5+G8d0ulu2o2GCBoFc1QNK/0spbz5GjY6PO70t&#10;L8EoU56iejQ5Yz6goZRNxBjjgp5vesVXgmKB4aO7SJi6Un0oAq8npfqhCGRK1dLChBrpanWp14R0&#10;2DMxKj1UZnj9CQ2SiALKpJf+YIyhdBlkqth+TZX5a6iIIarwvkMVXwiVuozSA1TgVCk/QpXkv6in&#10;+C0y3vfQNm3CkHmDaiIdB3q9ZIQO0Prf0zH+iP1XuwM/UkOaWK70NC+09xCBPJf/R8bgFTrHTqen&#10;aWQt9faqPVvcMkoEZOg7yHjgFbww1Av8CRkkzM+uhXrgd5IB24thWufMJvHOPp3nShxbRLBQOWvz&#10;OFp3B/3359FQIKPzEBmxP4m409cPldHC4DrCOGI9hnkRhuNgmbb/OV2Xj4uIFmjfT2M4GNdXDB2T&#10;Ma2sa17o9LRchWtM1+Gble4g5jEIQ+dwPl3zW2p83f+TrsO/Kf4tZDxfwX5ksBZ5nb/jmLqyTJyb&#10;L4C5+hUFZDS3CN/UlcPEfx27QIxkoHFBx/xcrSf0KuWD8AyH4v+6A53YzuUOfE8Gh0GvmdLqezDy&#10;SC8yqp/ANlV1IUwApYX+ywPV9SG/NU+Kc2ESB5VerIqPuJOEewCYoAItKLw3qz7tZwdTQOLVJ0yF&#10;id4nDOkckv1DDFYwtWZ35dATqzGGkYzawk0SZYzReLAPw9mNMXrk6Jlj4ozNCGAyR38xxhDO1Rfo&#10;jDBAqVDt8fupgowYzowGVaanyJicwLAxVZIvV9cHl8JYUG9uM4wxhYnhSQBDAWOC3lJ13frRZkUd&#10;6oLxRyMAy9TT2V/TEFotNwlDx8CHYGDUHqcK+55qd8tt6BFF6w2JdWRQ4MeQuAgUPV0x5PuqzuAD&#10;MsK4J/0kjL7ZeNAb48Gzt9RiBGBIQzPev8eQ7a/IWH5OrIyBPP6RKm9grLMh2DKsLjgVYS7an4wS&#10;BsaY4g0j9xvCGLuDr1GwqJPICM8Wx5+/MTyB0FBPqJqucReMPm0jerZ0/k9Xuzd5qmc3n2n/H5QO&#10;T6h46MVSWv3O3Kblf0WjZH7Ag+tA+zguNwkjesXuEOY3EMAYD5u5U0xljCFxZbRp/18j/cXpDrxX&#10;pYcFPCfgF6MCRLXbf7c4x8atMTtBaLggX9V4A99CWiL/2P8bEwdUepBc1NFAUh82wE1+fE5R96EI&#10;zGGN+0T4bN+rJBhjVEJq22hgQorDplcLjPF+0kOkePtKBhhjNWsVhsqsBtlujJ8k4TxvEEtMRukv&#10;xthiiHvdgKQK8r+OuUE0dB1kYDah12t96Eghe4dPk15wyHvACBdDiNRjU8OqIrIEFS+t+4oyvlVu&#10;0QMSk/LEqlBpn18nI/1lGAcMU9J+56KSl6sjIIP0VwcZF+H3Bu617hdGFD1s6sG9GwZIBjswHI9z&#10;Gu7xzx8+b+sIuU0B/TetMQ5D14UMw79rLPdSo+H0BbeLfTWsNeeWx7ae4DaMKODYdN3/juFosY6g&#10;5V8565vfB4MJY0zu86Q/k2F7xX5Ow+dunOTy+L9Z0xBorq5vWUKNGsyx76hyB7qoJ/4OuiZi6JmO&#10;p76yJqCGzf+rbAhhRj4Yzr9QL/Yorl819dZhbKlR9lxNfSBiSmLax+cpXtSv41V7gjeaw8bdUOPp&#10;Ctr/69TQe3/l3CCmLI6AjvlDagTgoz9x8y+MMW5v0HmNIpOBefu5Z5wsdLXiGWP11Sbct0VrFlM3&#10;RhtWwf1dZAisR+sYs1OhRa2bk1mBwot7VNGG8lTPGJUD/D0eJkkR6zA1CqI51GPS416LBL14jBCw&#10;Uc4g/cEYp9UQk9FDz5Yq1G9Q7+aPMBLDqIdkv58JzMpQDIN+BhW9epiHln/qcl80mYzeAbsxFsgh&#10;UDJi/w9P2dIx/lJT729IpEJFz5iMRNSncWn91d295cZi2vdbjslNw6sbmqN9cCYMGiHO+cF5ZGze&#10;RUZIPNTk8gWC0c6ryh18wHxQKva9Sorzdhgi6sneg33V1PnPoeWv0fH2Uc9uGl2Hl4eeGerxlTgY&#10;NIrzKXM0IDhvqHvj9Or64Jfo+v6iuiGg/ZAN/i8aELR/Sr/QDtHI8IQuF+tw79hNaWkBDQ86jhhN&#10;qfUGcGsOT7m/Ssf7ZxU1Fmgfv3XJniswh8tDj8jFbiyNNWo0HSGDGX6GQA3LI4wadmvp/2AEVEDn&#10;u4HO94+xboPYwXA4esW0nxfREMI1TSTvMBZQ6UFyUQeMLwoa7psiY+Aeg65nDNpIGKIGakpM8FFS&#10;uHVpAXMsq94uptnUvepgHaauI2EqzXRgv2esPsQPdMYYryVgGtBJJDzMxmSIfDfG6TTEVLHdQpV4&#10;+GlXcW/SE1CfKI2Ky90SROUvF4km0dPF9j2M8diNFbW+wP/A8A23DRUnUqGiEq6qD+q+GtYD6tX/&#10;jowXRtccZGQXUW/xH3RuUZ/BcDYE/kbntRtDwMo4UA/xkP28qhtCvySj8hPxP7yB12mb5yp9zbpp&#10;e02oIQOjCK/aFxnA+5wNQcyZT9cp+AKMIvxW6JqKnr/4z3J78v9PtOuE4X0YbtG4oQaFDKYGReiv&#10;tK/fkCi795waWBlO2kZ80xxD43Dpf/1dHMvyhDuGp8mRea2x2NngXwwf4g2ZtlYM2Ytz8PjFlMQw&#10;3sM9W0V9jNsTLk8wQI2S95CRvxT/D34Kfx4NAqfXfw3ixQONiuHuLXXWBqK8Jr0uAwMGulrxjPFR&#10;krU3CuOMOartIENhGA3GFT1NtExVJoPf/qrDHhI+YahAHJyH/QlRqzHGPMxxh54SxGqM8VCayMAS&#10;uzFGCxn3VtaS8P/wXWcmQ+SzMU6nISYDc7XL24In+cP7okr1BmdDqGlE/eazyXDcQT28HsOI4j6l&#10;uHfb8/Ui9Jid3sDNctHhnNc0H/ciaxqCX4ZhEPcW6zeFh0CjGRkr4sli6iXKxajQuf4f9kfHegcZ&#10;4Z8oY0S9fdzWSghxP9wb+Gq883L5ttTi4TDEg+g4ZKCDf8O92+o5G82RPeo5VtY3r7Dui67Ns2Sp&#10;S+n/vGw3xtXu4Ccx0iCG/PEAlsc/n9JoH641GaNfoVdo75GTMca88SIdaPt1+L9VDS3vUY0jO9QI&#10;wChDF560pnN5CYa21tP8+Zr6gKhzzXe0LcPvuIfuDYmntCE6r3+iZ49VtP0/q7xbF6DHLvKDvD9M&#10;56AerBXpS9t/ZITcfwQNe0qqG4JXqWsoriMe6sIDYbZ78Xgdq6o+8HHkV9o/GfLgy4iPJ/RlFCYe&#10;qPQguagDQ0P3k5CAGIZGwWkm2UELDh/Vh+GEAQdqWAQ9YxgyBdbrPqk4hYRzQWsRD5nACP6OhOEf&#10;LH+FlC5gjPHen/Wpb4D/gPO2Gmf16gEKEO6hf0ksMRkhX41xOg0x7p2q3iZVqmLYD5Wryx36IHq2&#10;Lk/LLiX1wBKonLdlFlXoZBR6VvbU47kG+6n2tLTKIALDxsGvVc+JfKJXvXMMyaCowBjXejdixCgm&#10;dF6fx9O5NfObG6vV083Uk6LwRF+BdNTUb9kk/oO7BV8ii8/c4GDqhb6djNGv5VPOEWlDxuYHMCBy&#10;USANypvq6W2Ad5zp3NVX1jCUi57udcPqNuLZGKKpSF0v+j9/HD43OKm6ofkCWhGZF8jAudz+H4p4&#10;3tB/ROOnIfAR3BKQMewU0rq1ZOz/q/YP0fEfRNqZ99v9862yNAgK0UgShtz6oJal94rJPmq93Q99&#10;RcNZH1iO/EfnfNh6XRTV1NBy0rXAE/VYP6g+MArnKVcziYBKL1bFR9jvm+Bp4h6JQeArSArVGrI+&#10;YGI1xrmEtoUaA91/Z9JIIsb4nL3vMpa0v7/PpTPCUDoNce/Q97gUZCje5ZhqDnnGo1w8DBbYKhej&#10;QhX+reTEneQjXVTP36RryPeGiHOnxs2ZaDTIxWQgwynu2ce9FuboRfBuSo/j4t75hNhPKwPcQkDP&#10;WC7mA32WJ/oFCRhjhulTEjHG2VJuG2KGYfIWNsZMrhHPGGcDX7Bjm84YsyFmGCYtsDFmco18McZs&#10;iBmGSRtsjJlcIx+McX82xDW++JNlWBEzOUWZPSuduDyBC6WXYfofSRjjb5HEBAJxwOtHinS9j/tt&#10;0ntJlvcmMwZmA3sH6adiyQRzbX/B9AqsX4TBk+KJPtSFyU2s8/bG2u+AJdeNsTDEwb40xI3FNZ7g&#10;h+WCeB0FT+vKxZhUzQmMld6Y1MwNTatxBzDVrdh/rXfLUrEiCnhqW3odtfVBn9MT+g+d4yV4fanG&#10;HUR57cGI+ZvE60+uhu6nkoGcdjLmtaT9P4nzcrrjv/dq/6ABtqtxt0SdnUqR6LVimIyQhDGO+iUW&#10;Gy9JFzxDQiGL90qS+PpLFPCesQKTgkT9ckiaUAUST6U+Z3odnyRhxhz16TLMtY3Cjbm61RyxmDc4&#10;1uxgWIeJQ6yTI+j2O+DJZWPc94YYhqj5Dpcn9Ck1V3KNO/Qq3oF1eYO/qa4LrhORokBxnnZ6Apg/&#10;OS7Uw31NfKqPjJc4VkP3p/rsuNyYjCP4HOkdlfODi/CKTLU7eHdVXWiGaTTFE9YCZ0NwP53/G9g/&#10;3hEmo/1vWv4TxXma9D28RlTjDehfrzE/ZHF1Vf0WWW4ai/GOb039hWKmMR10jD/TPsXrhxT3aWpk&#10;4Fziplcy14ph0k4Cxhi9NUws8DESPgSBz3VFqwAwi9V2KcyyI6ZyI2I97o934lQ8Hd+UrsKcQzYz&#10;YF5ca2NCfSQbH4pQX236HwRI7iZtI+GLKPJ9w5jg04tWYxxtvwOaXDbGfW2IAYwV3vGs8QZ/53SH&#10;7nG5Q3/CqzBOz9aReNdVRtNCRu4P1CvsOf2lDfRaazyBR2EkxbuvntAjMKpydQ8wQ5SYAMMTesbl&#10;DT2DWbFoG0zk8QOnJ9jqcgePyagUd+tIpzd0v8vT8gbFfzed84tkxH9V7Q09iB4/bRd1Vj0yrK/D&#10;wJNR/eeQhrU1dG7/iPWpQsHMptKa+kB9jdu/CpOi0DX7JQytXBuVRK8Vw2QEVHpxKj5kfOsHGjAD&#10;V8Qk5RK8j4zJzTGtJYw2psNEj/d2UqzhHxj5aO8NYlaYiCGtNIKJPHaT0NuGAVYVrJjknPgUaaHp&#10;dXyNhEne8Y6f/SsnaIFbp/HENHNqukKMCFj/u90Yx9rvgCVXjXF2DHHg+2R8nzONXfDf+IoOepkw&#10;StJYxnyXE3GqvD0/KGEHk0VUUk9YzNRE0DGewTuwYqUV6qmSIX3F5W7BdI5v0vn9huL+nQzq24Tr&#10;Cxx0eVv2QurjCzDGtN97q92B/6tqCL2b4j33/9s7D/A4ivONS7Kqu1XdbXA3btI1915xN266Ivcm&#10;uQAuFGNMsyWZ3pJQ0iEJJEAICQFDCglplBAgQAgJxbSQfwIJCWmQ7P9753ZOq9Oe7k46SSfd+3ue&#10;95Fud2/b7c7MO/PNDL6HdZJZHpGM9mv4PxyMkd2zzDu2uLRiXJEjMLXAWXGDFEqelO1PScHkI+uQ&#10;kBoM4oHRoOTcHpfjnKvm63Wr6ueov1us94qQFgGJXpSED5nLy6JfiDByVpUo0gDvmGYQo9zoKidU&#10;wd4nqjdEXBgfizBrkt1gBXDXLTVl4fPmX1B/cm95L0XIODVoE8a0aBi+EyON6cwXYwZvFc0SwSFr&#10;0GaGfYRPqBGeGUfab0qTjJmxs7watUGtmhEDjGZUOGHjMDhNcW6PpDm2d0amUejy/tzcJCIYqhEO&#10;FhmeuahRtBsucvhelgztbPwvGbSaPcgOjEIljhcZnzk1YN1EBFaCmbH/wSKPHyOIXSyZ5CdpDkdW&#10;gTNwsMhZcXUJJhgQ14/xp82vpBU5vavkO38RV/sCnDbcsR6eEtMCqnsgTlZtHEZBmX8X1su/nTBx&#10;vio0OANv1huFKox47xUhCQeJXpSED4EcOlISTnW1CHMU24Eh7vSg9mhj1qV2DKGp5y+1gupsXeWt&#10;5kYNAy/npcF/EwpKv5iWMRKYrjEcFDRQwkY7Mdw/Js/Ay42qavwNn3jbrh08PDMG4ftNeZIxM24r&#10;Cp3+14o9gf2o4k0bNCO3UDKLAsmcMBoTMrXG2k4ls/oIU+MhI4JDNBfbg9mAzMyt2OlbhowfGZrO&#10;aPPHV/RT21nId/luKXJXvIHxitH2i+06j97QYJpT7YxLxvlPk23fR6YoTt/Zy1VxRr45GphcyzfU&#10;eMfmMJlSMHhdChzTi53eo8iQ5Tw+wP4hOHhsY4dk3J9FNTsye3ORAtXksk/UhNkS170ipCWIITPG&#10;hA7IkBE9iapoVFOHZygAL5UeLH6uyOqG8WKEDxiO9aHZaARUfWNGlPA24X+ZfzWNRnnGwffMvxrt&#10;zK0R23qMbYCCQUCExM8aVIYXPNzV3yRC5PRZ6lMddplxpP2mLMyM60BbrmRUH2Oe4gKX11voDLxq&#10;rsLsOy5kTubHehS6/Cd0VTDctcpQnV68l7ag2lcypJ9KZvaSZLCrxSGu1N2V1DFsXKVsuxABT0EH&#10;G8yMZXGDGi5xqrNlm2qVCbu9mNf3eThqbK+VP351vczeOq9xidP3LCY7kGP8ubjMN9Fc3IDg5AoV&#10;V8u13ywZ73NSiHlTjvsf7B+FCrtqbRDvvSKkRUCiFyXhwyQRqJ5DlSvGqUU1jt14tXB3yGjQzoo5&#10;jMHr5t8XRdZMFhkxJtQOr/a7TYRzwWT+ejBztKnqNmoMDp+oqsJXRLq6fa9IJzZXi1D1DD2DBQK6&#10;VQG07WIyC7QdRgKJiK4FQMJpLZQgM7YmJvHsN2VgZlyHOLVa/MVEAmrGngkbh6WZA/Vj4gPrvLaa&#10;fMmwkKHUmxDAETiMZUU21duSwf+syL12vGR2FxS5Kl6UjOmhIldgAzIwuFC1LxskE9uLKu0Sd+A2&#10;+c6ngts1nEc4X/ZrnbaxwOnHe56O7VUVvGUChkhIgeRtBLGZHyMi13AWIryRGWPSAhwjfGYmK/He&#10;K0JaDCR6kPnRDl2NirZNvGjowjNaFA5mXtGDnet2F7hqgAcd7cKaiFVrAo6D44VeDgGuHI44YptP&#10;E8EMTWjv1eeN/aNAoaW7GlnPBe3YwRln7MH3dAKp9wPQHqw/6+PFs9+UgZlxHcrRBf++lO8MiFsL&#10;zg4kf7MLnRXVaGtVG5oUOv3rVaZlyVw0RU7f9/FdSFy1aorBHLc9xnpPF5f7C8yBXODyX4oZmzDT&#10;D2ZWQoS1ZNaI+2gApgTEvrBeMvFdCCozV9UD+yhyBlQzjm7vxfkFr0PWiyOXzPZv+N8OyfQvwraI&#10;qFbBY2YXr0hgDuQCZ+DyEs+6wbLfm8RVf16OcaG4fSlg1xUW4r1XhLQoSPSY8JFkgplxkCJX+Wfh&#10;PPE/psoLZibIvOAkR6sMRBzge3CA+B/0GL9usPmvLV0860sQXawnq9eEt8NiP9i3yowwq5ANBZJ5&#10;qwy1/+o8NQsR+hK7yi3TMwYpdvjORXss/hfH/QNd5a2+ayIOtcHoWpLxfh2zJ/Uo8wVrxiTTRJU9&#10;vodjwf3qiO1Cp/fGYmfgrxDWQ6jSx2Ah9eQM6NqoJt8rQloEJHpM+Egywcw4RKtHb1vBIB6FrgpV&#10;AAhHHPXnxKkeMj8qek9YXWTNYKMhGad19LkYmZGJtnIEf+mMmJAOARI9JnwkmWBmTAhJOZgZk2SD&#10;mTEhJOWIIzPGWMwNIiWjEBoSr4mgu8NiUUsPhhHeBQlDVCK4S4MuEdbPVq4QNTYmdTjWsbUb22/K&#10;wsyYEJJyxJEZo79vvY70Efi3+Reg3ywy8GhR0OHjT1vBPhB9jMhsRD4nGnRDsl7/GvNvqUiP+4sR&#10;tRAhrqMuy0UI/kCbHvoUo29ltEx1nug5kY6uBnb7TXmYGRNCUg4kejEkfHCO6HaDwSleMP+3AxkS&#10;Mlb0z0Vwhx6c/VOixiISGzu+zowBjt0SQRv6+OjKhGvU6OWY0AHDXSJqVbt93IN3ROhzjUkiMJVi&#10;NMIH/bDbb8rDzJgQknIg0YuS8GHcZgxZif6/AAN66AkUwkGGggE00KkfVcsYXu9ZEQbriATGsV4f&#10;/NcWa2a8TISRrRIBuktgQocHRNbrxzEAjqMHysdA9qiOxnmEjzeNTNh6PzA5BKaOBBi8xDqPanhm&#10;3Nh+UxZmxoSQlAOJXpSEDxNFYBzm60Rwpqha1cNeWtET7C8SnQz+qwYIsRuty8p7oh8F/7XFmhlj&#10;MBBkXongLvMvsLt+DGCgu5ZgIgeMkf0Z9akOFCQwKMo3RdaqeD2Affh0bOGZcaT9pjTMjAkhKQcS&#10;vSgJHzJjjEmtwdjUkWZtwuQLT4mQeaJqG9/rIsLQk3agqhfuEFXYkTIka2aMdld/8N9m4RZhdilN&#10;+PX/VhTePo5gMgRcTRfhGs8XoQ0bhQO0GVvH2cZ1nwr+Ww+7sanD95vyMDMmhKQcSPSiJHwYGQeB&#10;Rxin9TIR3J7dfMYADhcZK6Y9tM5RjMzPbs5iOEg9sDzmNbabYN+aGcNp6+ry5oBZWTADlcZ6/Zj2&#10;0a5NHAFkqLpG4BbOSfNVUfj2mNUKE1GED/tplxlH2m/KwsyYEJJyINGLkvDdLNKZIUC08ZLgvw3Q&#10;AVBweqji1ZHJyMTDQXtqYfDfEJhqETM3WQe/t2bGaItOFD82/wLr9R80/wJdfa6H+EOtAOZ3ReBW&#10;Y+iZpf5q/tWEZ8bx7jclYGZMCEk5kOhFSfjuFSEaukaE4CZkGKhSDedXIj0R+ZfMv783/8KJXhP8&#10;V4GpCe36LGP+YxzncyJ8B1XJb4owZzC6GiUS7BvR3l8U4fpRYECVMf7X0gPkWyfGwLnB+UcC8zLr&#10;wgcGv1djCwuYu/lDEa5H9zWOZ78pAzNjQkjKgUQvzoQPA8rbjZmLqtnG0AFehDQKM2NCSMrRhMyY&#10;kBaFmTEhJOVgZkySDWbGhJCUg5kxSTaYGRNCUg6dGSMBpKgk0QfMjAkhKcUnaWkf6gyZopJJ5iNK&#10;CCGEEEIIIYQQQgghhBBCCCGEEELakNL1tX3d3prbJvpOvOj21/5tYuCEQVFNldt34p8T/Sd+K8/T&#10;PaXrakaZj1mHpnRZbV9Xea3PXV6z2xOouYaiospXe6W7omaH01991rh5+zHxWodiqO9od8lXtnh8&#10;1Q94/NW/cftrXpdr/pM7cOJ9imqKPP6a/5N351Uppzwnusvtq1k9Y8ZR67QOhBBCSPyM8x8tlkzl&#10;EclcPtaGZtrmy4w1h7Yau6qXGnuvnG+cc81s49xrZxnn3TiVoiJq/3UzjHOvmaWemcrqxYb3wg3G&#10;rG1H6oyyv+YTj6/mKefaY2PMx69dM3ZxdS+5nptcvpq3PL4T/9XXSVGJkMdb87LbV30wbcZRu2le&#10;kpijGfJenOvy1b4mBtjyXtQYc3deaKw4p9Iov2CjUXHEa+w4tpyi4hKem/ILNhhL9+0xZm69uN47&#10;g3KMy1f9rHNt9VzzYSSEEEKiEzTEx5/TGcr8necbe04sNA7dYG96KKqpwjO176p5xpK9Z8uzVque&#10;N4+/9h2X94oJ5uPYrpjoq1nr8Va/q9+dqRuvMPwX+VSFwMHrp9neA4qKRQeumy7p8AJj3XmbjMkb&#10;jgXfFd+J/7oDta+4vNV2c6kmDSOWHeymWu/MStbJG44b6y7YpN595itUSwvvzcpzd6l3Jvje1H7k&#10;8dUcMR9PQgghxB5XoOawLrwsqDykWoTtMhqKSrQOXDfDWHb2blVwQQvyRF/t9eZjmfS4fTUTXb6a&#10;P+iC1/oLNiojY3edFJUIIW1etX+nPG816plz+qp/i3B985FMFtLd/hMH5P34F85x+uZLjZ3Hl9pe&#10;D0W1tFA5ufnS1aF3xu2r/aOr/MQk81klhBBCNEczXN6aL+uC/drztrImn2p14ZnzHfarZ9AsuDw0&#10;KLn7h6VLof/T+nyXnr2XhphqVZ177UxjYeVB9fy5/DX/cPuvWmE+m22Ox3/i0mDIdK2x/oJNtudP&#10;Ua2t/ZJGL6g8oN4ZRF04fbWV5iNLCCGEpKU519VMRngRMor157MAQ7WtNh1dK4WWWtVyLIWWZeZj&#10;mnS4fDXnevw1/8O5Bo74bK+FolpaB6+fbnZHMCuUyo+1uTl2+Y/t0uez9rwtrGilkk4rzq0Mvi/e&#10;6g8mrK0ebz66hBBCUh2P/8RXkEHM3HpU9fuyy0QoqrWEgbpmbz+sCi0ub83Pzcc0qSj1Hx+qux0s&#10;2r3fOHgD+xBTbScYz1nmgEMef80L4/xXFpuPaqtTuv5oX4+39mWcC8aosDtfimpr7b1ynjFjy9Gg&#10;OfZV32M+voQQQlIdj6/mFDKHeVKIOXAdC/hU2wqF/EVV+4MFFjGf5mOaVLj8tRfh/KDtVyy3vQ6K&#10;ak1tOLo+WJnkr/1bmbfaYT6qrY7bXz1e8pQPcC6+CwO250pRba2D10815u86L/jO+GreNx9fQggh&#10;qY7HW6NG0sWAW3YZCEW1tpbu26cKLJD5mCYVLl/tV/X5ccRpKhmEga0mBarN96Z2hvmotjoe/5Ue&#10;t7f2nzgPTKNjd64UlQxK9nyGEEJIG9CaxvjAdZONHgU5Rnp6mjF18UDj0PVTbLeLVWurxhhpsq/h&#10;EwrEoNjva9nGEcj0jHGTS4w5Z51ubL6g1Ha7aDpw7WSj32ndjKycDGPl1pG221CJUXsyxnbn3xI6&#10;+8RE2+UUBWF++ckVNMYUFatojAkhhDSgJY3x5IUDjDGeYuNM/zBj3pohRvf8HOO0UT2Nhd6hxuLA&#10;cFtNmt/fKOidZ6zY0rj5POfqSUa/07sZnTqlGz1kvz0LcpWyczoZnTLTjcC549R22hhXHXMr8zxx&#10;Xj8jO7eTseMSZ4N9NqaD100x+p/e3egzqKtxrhzbbptYBGPeVwx274FdlWatGGy7XaK146jTmDCl&#10;tzr/nkW5Ri8Rjo8KinOurH892y92GEPH5huFfTqrbRwz+qpKDes2EH7Xzl2zjJIBXSJWTDRFNMb1&#10;dfaVE428LpnGoBE9jLN2jG72vfadPdbIzMow5q8bYuy/Nvi77r9mkpLepnzvWPXeLPINNUY7i4wJ&#10;U3sbe2s8ofXxaMDQHkbXHtmG33wnqcSLxjgopOunj+5llE3rY1Rd4bbdJh4tl3xo4PAextINw20r&#10;cpEXnOEqkme8u7GuakyD9fFo+1GHSp/xnm88NMF2GypxojEmhBDSgJY0xjOWDTbyS/KUKbVbbyeP&#10;GNe8LllRC/9DzuglBjhDCkE9jU3nB1uBUfBGgX+xGLbKy11q2dw1p6tWXv09FO6Hjcs3RjoKjd1x&#10;nNfu425l2HsW5hqVlwX3Ha9gLmEQ5LaHBCO/4WDLFoK2HC5Tx+rWK1u1nJdN7yOGNjN0DhkZ6caW&#10;C8vUtriHqFiAKd4j92r93jHqnhb0yTN2VwfvF65j4PDu6rvYlzZXiVKqG+NZqwar32qQFMhhKrOy&#10;M1Sl0uARPY3BI+3Ve0BXIz0jzRg7qaTRSIw98hzjty0SjZYCvRaeB2iTGVGhjbGOsFi/Z4yRk4tn&#10;dXy9/UUTzqX/kO5Gcb8uxr4mtnqv3jna6H96N/Xu4FnEeeFacU/w/IVX7DRXuFYYFFRG4FjqeOly&#10;vF45hmdu/3oVCFsOlxolcu/xG2G7zt2yVOWedX+Q9+yxRk5eJ7W+JUxPqhpj39njQs87KpAKJL8Z&#10;N6lYRfiEb6vl3TdWVf7ZrQuXeu/k/dIVt6hMwvOMCk2kg/uvmWz0HdxNaV/tRGPakkFGl+7ZxoL1&#10;Q2z315iQT8otVBWOduvbUnimUfHcd3BXY8clDe/drsucKoIL707VFZHzR/wueGe2HXFETKdwXxes&#10;H2pMPXNgsyqho4nGmBBCSAOS0Rh36ZZtuw6qkII5CivLNo1Q5nnnpU5jyJhexpm+YUY3KTiXTutj&#10;VErGXHFgvLHxvAlGUd/OxsiyQlXAR2HIqnjOa8uFpco45HbONHznxN/yhUIAQr7llqv9bL2oTIWV&#10;4zP+2n0nmpZUDFcGJ0vMNfYDoQCPFvSpiwaqVm6770G4/m4960z6WTtGqeXrqs5Qn3XL+AYpxKOF&#10;vVdxrirwlO8boz536S4FfLm/4ftNhFLdGONZxjO+M46ohtmrTlO/m906LRiH/OI89T7AZI71FKvf&#10;eNnmEfKbZhijnEWGe04/Y+7q04yyab3V/lBIhyFAN4QehTnybmapVmS7/dtJVyjhmcc7ZLdNJKGA&#10;XCjvL84DwnnjvUahGpVhUxcPUs863iW77zdFB+WYiEQZMiZfCvpnqOMhrUElnD4PmHG9vX6HdGv4&#10;gGE91OeF5cF7hMgWnDeWjZ/Su1HD1hylqjE+bVQvY0RZgbG28oyYtHTjCPWbIRJmj1nRZye8F6eh&#10;wmlgF2PXpS5VoQqt2DxSdd9BuojtYIZR6YNW5UM3BNNbVMou2TA8blOHvE1uoXrX7NY3JpwDvhtJ&#10;qORxzOyj3im770fTGHex2g/ef/2+oXUelajhx9JC1yN9PJXf9MpW54H0De8Qthk+vqDeOa3dfYbK&#10;z/AbbY4zvYhXNMaEEEIa0NLGGAX81btGqwJmLDrDXdSoMa465jJWbR9lTJzf3xgohdD8klwVyosW&#10;G4SZ6u1gRF2z+gYz8sNlysSh8DB75eBGDWMkTVsyULUWr9l1htqP3TaNab1k+Bmd0pVQq45lSyqG&#10;hQoRox1FEWvQ7YRCGPo6o/C+pzoY4orvI3QcrWnY51lyn8K/p3Xa6J6hY+Ne6uUouE9bPFAtR2s2&#10;jHZRv85SEBxvDBWzgOUo1CQydDpcNMbDVMXDmp2jlQGMRe7Z/dRvY7c/CC1dA4Z1V6YSn9HKj5bY&#10;VdtGqYiKeWuHhAr2UIkYArQ+L62Iv4Bvla5QgjmOpxUNJh7mBdcELRFzbrddvML1I73Q+9VCa+6m&#10;8yNX9GhzC8Fg6OWo+MMy3Ed81kZ+taRFFQfGqYq0DHkf0WJsvb+JViobY1Sm2q2zEypD8ZuNKiuy&#10;XQ8hkgjPK7oCoZK1RJ5DRFmgew4iFhbKczx0TC9V6YoKRFSadOuVo/IjCM8t1kE6rY9Fc8UQyy1U&#10;z6fd+sakjXF4RTTSc3RLwjooT97FaIYT+eWkBf2NIWfkG645fY0dYmrtjDHyAFQQWCt78A7hGPp4&#10;yI+wfPmmYJcmtKyjlR35Md45HYGFqI/Tz+iltnHN7tui+YsWjTEhhJAGtLcWY4Qdw6RinzCECDUd&#10;P6WkXpgmaqcR3ghDFx6+OXP5IGWi0c/ZurwxLd8yQkxihuE7Z6zKsNHy0wctDjH2uUQhHyZTbrfR&#10;f2h3VZjQhgYh4ViOmneE+Nl9P5JQ0w5Dg1aq4v5dVCFDtWCJmcU+0YoY/h1UKuBasD4nD63f0Qvs&#10;aA1DIQYFwIAU9rUJQ3jrODFPCMVGIVCHrzdXNMbD1O+IwqNuqYomvBNyarb7g/CcoO8lfie02gwf&#10;V6D6kYeH9sIEDx+fr56lXVJgxeexE4tVgRbhktZ9xqKJ8/ors4jCNsx+eYxGYduR4Pa4JigRBeWK&#10;/eNVRQ/2BwNzzlVBw499o7sB3tPw76DQj3ES9HkgnP0cy3ZIX6YsGqCMU35xrnofECqKSjkc6/RR&#10;we3L945RLe+oWEMrsvUYiVAqG2NtsGIRKmpRORnJGONdOmvbqFBl0DbJSxAejfElYIqRp1mfRYRU&#10;50o6CrOIVuPlm0fEVcGphedsoORleD+RZ+qIg1gVyRhroRIV66GZyyOPa9HntG7B7eTZRYsvIic6&#10;ZdW1CluNsZ1Uxaz5jiESSnez2X7EEeoKgfRkkNwrbINxL1ABiPwRFXTIX8L32VKiMSaEENKAljbG&#10;yAiRwera9Gjq3iu7UWMMISwag51MOXNgyPiiID12YokUfnKMaYsHqQJO+PcgmEAUXuTSYyp8wEBn&#10;SsEgfDTr6csGGRh4CibcujxcKPCgMI3jRVNe58yYW+dgNGBq8D2nFMLRsoEwUF0Tj+VWY4wWK/R9&#10;w3IYXBSUYjEbpVN7q4LO8HH5qoCP8F4ULnVorO5jh/2uStBo3TTGiQ+lxqjW1v7CGHwNYdK6EI+/&#10;eB/wTMHUWVuBoMD+ccpQDxajt682tgohmAYUhreZBekVW0ao1qRYQvB1CDauCQp//5qiyQv6h/a3&#10;YmvkaAothFCjXzW2x7sOc2u3nVUwDajUQOUTWuTX7T5DpR/o+4p+2yPLgt0pSqf1tv1+U8UWY/v1&#10;4YrWYqyeO1nfS0z0DEnjA/vHq4G80L8cFZl6O11h0j1fnu+L64wiurd07papoiPiMcgwh6hg3Hhe&#10;qXrXcjs3HsEQrmjGGJWuusJ0nOST4eshXC/WQ+H9nHXERCRjjEola1SFrhAK3w75MvJMVLIhvzoD&#10;LdFm/oLrRgUE0giUG9BNAia+KRFesYjGmBBCSAPaU4sxjBz6wqLwAiO8fHPQiKHlFAVNq6lEyCRC&#10;gvVnCCYXIaXYHvtqzBginA5GHS2xkQYTQXgxTOhQydTtWpsghLHpGnT0T7PbZt6aYAgdhAKFtc9V&#10;JKFvte6jDMNy2uhexiAx4ChQ6H1pYzx3dd3+UQjBOSPE06r+Q7rVq0zQBXxsi8K9Xr5f7jEqJbAf&#10;58y+xiK5p2h5hgGKVkkQq2iMg6N9o3CKFsZYNH5yifp97fYHoZUSLZsYOAjGWBfaZ688TRWqMep0&#10;tIG1YIi79MhSIaZ2663yzAmO/h7eyozuEmgJtotmCJcOLYW6ynH959aPqMD7vkjuVayD6K3cVtdq&#10;hkH7rOYf/SV1BAhMBJ5nbIfnP5bp2fDO4n3Ad9AaptMD9NnGMm2E9aBmOqTUuo/mKJWNcZ9BXdTz&#10;FovwO+SI6WwslBrCszFt6SA1toJfDJtevkvS3WHjClTrM9JFO/O746hDVRwiiiCWtNwrzwTSYFRe&#10;6mXofoT3x9o9qDFFM8b9JH3HeqTbSC/C10PoIqC2EaFSx7rOLpQawn1CVAhMPdYX9e0S04wPMP2o&#10;hMP7hfQI0UaYLQHXjIgqvD8IKUfeGW8kVayiMSaEENKAljTGGMkStb4oQOjQ4WhCmBXCquz2p4WM&#10;GS3D1hBQx4w+hsMyKA6EFh6EZ1lbepDJIkOGSbAr1MBwYkop1H7HEhqMULFZKwerQgEK0yhcwLjr&#10;9SgkoNUBo/2ihtz6XavQIqa2kwJDeGtdY0IhbN3uMaqvMY6B76I1GfvSRhcGAoYEyyIJrb/6fpx7&#10;tVzTisGqxSxSCzbuDUKscT8TZYi1aIwT32KMwjIqgtBaO8sSSoluCFbzioGGMF0Mnhe9bL08XzBy&#10;sbTaonCP9wCRBpGeHTxfGHQHFToYNb4x84BjYiRcXJudUHmDPpB237UTzDHShPD9IFwUBkhHRISv&#10;DxdGvtf7RJrR06ykOtM3tF66gjQK14ljwjDr8PBYWp/jEVuM7deHK1qLMQbAQv9hDDBnrRBFtx1U&#10;ciJt1c+r3XOrl6ESCe9xpHdAC5VMXeWZsEtDkRfAOI4sLYi6H22M8XzhnUIFMML60Qdam1YIz61d&#10;vgchTUd/eGyHVltUmq3cNkpFfOnvW40xDL0ejR3jWuC+eeb2qydEoVjvE/InhE/jOxizAmkBluNe&#10;oxICFbvo8oC8C2Hl1qkXEy0aY0IIIQ1oSWOMEF9kdshIkdHFIphptErZ7Q8ZLAqgaKG01q5DaF3D&#10;cusyCKFYGDzFumyDmAMUFqw152VirDGVEcx5LCHG4UJhA/0U0SKBflZoWWjJwXY6slLdGCOkEZVD&#10;KECGFzQjCf0b5dRCA7GFC88nwjthJK2D7yBaAQNtWbdFoR7hoE7LIFM6xLTPoG71Kn60FgeGGSX9&#10;O6vKlFhbQjG3NsYCwHnDrLhm91OGsbHQSYwCjHQCoeHNeb/wjuNeoR91c6YbwzlgHzA2jV03KsVw&#10;3vFUesUjGmP79eGKZoy1UFmE510bUnQHKO7XWf2GehuMao2R2hE1o5dVHJqgKlbUNHaWab3CNW/d&#10;6aqVGGa7sWcCzxSmCJNbq87bF6H1FPPR4/xgJq0aO6lYmXyY3ljeF7xXkxYMCEUjodUbEUeoKMP8&#10;+4NH9AhVpGEqv/DjhQtdB865Khg9gXQDxh3mG4Y7/Hww7/R4MfO5XYKh1BgTARV5LZWP0hgTQghp&#10;QEsaY4pqilLdGGNKLMfMvqrgbbfeTmi5h5GNZCrR6jrK0TAKAi2aaOkJ/x4iEBCFYV127lWTjBGl&#10;BYbfMl0ZWqpRuNcDWTVFODZaiVCZZLeeiq5UNcaITkDXDlQmxSKMwI/WUFQk2e1vb61HvSdoCV2z&#10;qy6cWE/LNKK0sN72etR168j+eE/QP76gpHO9bRFGj+4umFIQkUTxGD4YZLxnmPJIbrMY1jwDfXLt&#10;tqViE40xIYSQBtAYU8mmVDfGFBWvUtUYo1U2nhZ/mFG0ikZqpUULMSKc7CqY0Jcd37Uuw/6wPHx/&#10;+IwWUOtnGGbrNlTbisaYEEJIA2iMqWQTjTFFxadUNcYU1VTRGBNCCGkAjTGVbKIxpqj4RGNMUfGp&#10;RfOZ/6Wl5f03Le2xT9LSfiv/r5UjZJnLz5Lln5a/RaIzZP2/5PM1st6hvmgiyy6X9Ydkeaa5qFWQ&#10;4/5T9LTop3HqSdE/5Hp+Lefd39wdIYS0O2iMqWQTjTFFxScaY4qKTy2az4hJfED0HTGJ88Us/lB0&#10;VP6fIppoaoMs+4to28dpaavk74tyFhst67UGmLsMIdvDXH9DdEJ0PBbJ/h+Tv/+Vvz+WfQ4yd9UA&#10;Wf+ubHe/bOONU+fKdz+Q79bIdWSYuyOEkHYHjTGVbKIxpqj4RGNMUfGpRfIZMYibxCD+Qv56zEUK&#10;+Xy2mMb78D8MsGmC89RKQT53lfUPij4jy8vMxa2OaYyrzY84r2z5fLnoZjmvPubiELKsWNY9LLpP&#10;/h9uLiaEkHYLjTGVbKIxpqj4RGNMUfGpRfMZMYmY8Gqm/F3yn7S06fJ3klWyzhAzeW34ctFFWIf/&#10;zV21KtoYy/EHyf/75e8YU4vl80vyd7ZeJp93i14UHZRzniDL5sl3r5b/e5q7I4SQdgeNMZVsojGm&#10;qPhEY0xR8alF8xnZY4aYxC+L0J+4PFyyHsb4i+HLZdn1WCf/b5G/6ebuWg0xuR/IsQ+IxuN/OZ8r&#10;5O+P5O/VsmyAaJR8/q18vkf+LxCNk8/Py+fviRA+fkqWDTN3Rwgh7Q4aYyrZRGNMUfGJxpii4lNL&#10;G+MJYhj/IiZxk7moHqb53Wd+TBrM80KfYWWM5fNGLJf/N4np/Y587i1/XxJ9VZatx1/Zdgi2kf+v&#10;Fb0m2wzGZ0IIaY/QGFPJJhpjiopPNMYUFZ9aNJ8Rs3iOmMSv2OjrYijflyMaoqds1mu9Ldt9KPtZ&#10;au6yxZFjOc1jlsm59RDVyHkgNNohy0ZE0WzZ9qR8v1K272zukhBC2h00xlSyicaYouITjTFFxadW&#10;zWfkCIViHL8oxvE9MZEwjxFbjGVdrmz7kazfbC5SyOexsm6N/HWKdN/fuCT7vVXO4S/y9ybZVw9z&#10;1wpZhlGun5btuuOz/F0o2/7LPKadGbbqbFyTaKTaGSGEtFNojKlkE40xRcUnGmOKik8tms/IHrPF&#10;VKLP8I/l77siDKrV21xdL5Ra/o6W7e6WbTAX8OOiP4iel20K1cYm8jldtkW/3kQoX/bXydw1zgFz&#10;Kr8qywaai7Qx/rf8RZ/jZY1Jzhd3EcY4dI2EENIeoTGmkk00xhQVn2iMKSo+tUg+IyZxjmi/7HGq&#10;/C0wF9dDlhfDRMrfo+aiEDCWsryL+bFVkON5xNh+I/x85fMcMcb/ET0h63/QmGSbF8xrsr1mQghp&#10;L6SiMd55idMYNjY/pOHj841dl7nqbbNq+yijc9csZJhKw8blG7uPuUPrD1w72XDO7Gtk52QYa3aN&#10;Di2vusJljJ9cYmy7qMzoP6S7MUCEZWUz+tT7fqw6dMMUY3FguDrPERMKjXOumlRvfVPPM5lFY9z2&#10;OmvH6HrviHtOP+Pcq+uevXPlOZwwtbeRnhF87rLk+Zq5fHC9feyt8Rh9BnU18kvyjD3HPaHlq+U5&#10;xP62Hi41MrMzjOWbRhj+c8YZc9ecXu/7serg9VMMz9x+6jwnLxxgHLhucmhdc86zPYnGmKLiU7Ln&#10;M4QQQtqAVDPGS8RkDhrRw1i5bZTSuEklqsAMDRjaQxnJPdUeIye3kxjmAvUdFOSxfvqSgeozjHXX&#10;HtnGwGE9GhSkUShfv2eMMX/tECO3S6aR1zXTWLB+iFG+d2y9Ans0VV3uMor6dlbfh9nF8TtlZhj7&#10;TkwMbdOc80xm0Ri3nWAkUaFTNr2Pej+WVgw3ehRgRs7gOwLjCSO6StZlZKQbc1cHzaxbjCnW+84e&#10;qz4vE7ObmZVuTJzf39h/Tf3n/mx5hrHv8VN6q+/g+cRnPK/W7aIJ5r1Tp3T1/b6ndVP7GjS8Z733&#10;rDnn2Z5EY9x6qjg0PmJFZUtrb63HKJ3WW97P3pIXtM9KnGQRjTEhhJAGdBRjfPaVE1Wrj1xSAxX2&#10;6RyxALPjEofRvVe22q5kQFdV6Me2hb3zjM7dstT/M1cMVqZ09c7RxpzVpxkZUhift2aIas0N39+G&#10;g+NVCy7M8CApsA8a0VOZi25yjMD+ceo7q6VAr89t/rohqiBfUJKnPp/pG9Zgv/PEZGNduDFuznkm&#10;s2iMW054Fs70D1OGUi6lnhbIs2j3nUWyvd7GNbuf2odXjGV2bidlDlCZNGRML6Nr92xj28UOY+DQ&#10;Hka3ntnG1sNlDfaF92vSgv5Gr6JcY23laFXxg2feLfsdPKKHeo+xf8+coIHFu7ld9ol3B1EP3fNz&#10;jO1HHQ32O6K0UG0fboybep7tTTTGrSddAZmRkRZ6dhDxMFjSeiy3CpWaOy8NVvjg2R9RWqAqahAF&#10;hArNrOwMVWmq941nvWdBjtFb8iJEMujlayvPUM//aGeRMWBod+O0kT2NMZ4iWdbJWLllZGi7WIU0&#10;AO8gzjE8X2nOebYn0RgTQghpQEdrMUYBZYRk5CiQnDaqVyiEcv3uMQ223XBovGpRxfrwDF63/K7c&#10;GmxZ3njeBCO/OFeFW266YEKwEJQe3DdMb/j+0fq0ruoMY93uM2xbomCg87pkGumyj06Z6apwsmKr&#10;fQEnkjGGmnueySga45YTnonOYkZRyA6cO852G6vmrT1dtajKZRuzVpxWb51q+cVzJ8IzuLB8qDLc&#10;rtl9De++scp04nvQ4FE9jd3H63clqDrmVt/d0oiBxndxfLzHXcTQVl5ev8uDViRjDDX3PNuDaIxb&#10;TjDCyE8gREyg+4pcaj1jjOdyw6EJoe8gIiG3c6barldRnsoDqq5wKyM7xl0c2i/Wz151mnEIz/v8&#10;/iqNX1IxPLQfLURyOGf1Vek53ofMrAxjsJhj3cVBr8c5TpzXP/Q9nR8iAgQtzDC0PQpyVV6DLgU4&#10;fni+0pzzbE+iMSaEENIAbYzn7zpPCqP2GUh7kG5RkktSBYMVW0aqAnCmZOBYZjWECNnUteU95e/m&#10;C0vr7csqFASmnjnQyJKCAlp3UcA5XQrPMNTbjziUmS7s21mUZ+ypjr1Ave1IWb0COQo6K5tgjLVa&#10;6jzbQmfuPiepCyzt2Rij1QcVMaiU2XxB5Oce7w/648rlGhOmlKiWXLvtIBhRFNjREouKmfAQf7yb&#10;2I8O8Y9FaDWet+Z09T2tHvk5RmXYWABajRljrZY4z2QRjXHihXxCm9uiPp1V2D3SWBhiLLMa43Ct&#10;qzxDtbJiuwlTeqtleKZhZFFROeSMXkav4lwVAYHKGuRHaAneE6FSBhFBa3adoQw4IqPQdQDpOCpf&#10;YYqxDdJ4VIrimNg/Kn1QARSpQilSvtKc82xPojEmhBDSALe/+lFkDLO2XWScc81s2wykPWjT+aUq&#10;LBMtS8i4h47NrzcolTbGGIhKLyvu10UViq2yGmgUNNDPF62vOhwOBhS17zAX62TbLYdLpeCRpQbZ&#10;Ovea2PqbVRwcrwosaC1GiFx4aDW2wYBd6P+Mc8J5qvUoqIzp1Wrn2Rbaf90MY+6OC1RhxeU/8Vu5&#10;7qTD5a39nC5Q7btynu11JKvQuoSQZbkMVXDHe6KeMXl+YAhRgNZh/RCMpH43oPFikq0tqigsw1ye&#10;4S4KFdBhQPE8WkP8sS8MsqW/F02zVsp35Hkv6J2n3gVVUJd96NBqbAOjoM9LR37kyTuPVrPWOs9k&#10;0Y5jy2CIDY/vxH/dvtppch1tQun6Y+Nc/tr38W54L6ywPdf2IJhDVLDKJalnC8+HXmcXSq2FPsAj&#10;JhSo9Ujfl24YofZl3cYq3eVlzlmnGcs3j1D7xHFnybOIil602kaq6LET8gJrl6JIXQ+gWCpctRJ9&#10;nm2tg9dPM+btOk+l4W7viT/JfSCEEEJgjE9UBAv5NcaWy1fZZiLtRSiAlO8do1q7IISEBfaPV//r&#10;QvKmC0pD6+2kBwBCQQh9dVGgtsvwYSDQtwvf2RGh4GEnvd/w7+nzOmv7KBX6ad3OTi19nm2lXdWL&#10;jckbjgcLLP7ay8zHNKlw+47tCL4zJ4yNR9fZXkeyK/z5QusS3h9EGqCyRi8PF0yBNpYocGOZ3XOF&#10;UGjsE+vx/DXW4hwuvV/r96znpfs66u3s1BrnmUwqv2CDeh493to/Of1XjjEf1VandFltXzmHl3Eu&#10;83aeb3uu7UF4F3RFSXZuRl2FoyyHGcRyqzHGs6YHcoQhXhwY1qhRRGWPrszcdZlTPd+ohIKRRdqO&#10;PKC4fxdVMRRPaP/SDcOVgUUFUs/CYOvxKEeh7baxGOOWOs+21t4r5xsztlwSzGd8td+S+0AIIYSk&#10;pZ2+5rwebl/NL5FBwJDsPrHQNiOhqJbW2VfNMaZuvCJYwPfVvly6/mhf8zFNLtas6eTxVr+K85y9&#10;vX1HWlDtXyjkTwrUBAv55dWPpjm2Z5lPapvg9FdX4VygtedtsT3n9iDdnxZGVy4rJIxIjQHdrMZY&#10;h/JH0vSlg0L7nLY4GI5tnTYMhltHDiFMetDwHubgiaerdXq7SMLAcpiWDN+HiUUFT3hoNaJFEG1h&#10;7cITrpY+z2TR0r3BMGqXv/rPZd7qsXI9hBBCSJBx867s4vbXPI6MYnLFcWPjxe2zFYxqv9p+bJkx&#10;ZUPQFLt8tS+O9Vb3Mh/PpMQVOD7J46/5K853wa6D7bp/PtV+tUdM8fTNlwZNsb/mHdeK4wXmI9qm&#10;uLwnLkVYNyKR1p23yfbcKaq1de61M9VAo3hfIKf3+DrzkSWEEEIsOLZnub01h3SGMX3zJcbWy9p3&#10;aDWV/ELo9Ozth0MFFY+v5tP9V5+TZz6VSc2EtdXjXb7qf+C8p4qp33bFCttrpKhE69ANOnw62FLs&#10;9NU8O27l0WLz0UwG0p2+ar/kKf9R+cmmS42dx5faXgtFtbTwvlQcKVcV/yqf8de+U+arLTOfVUII&#10;IcQex5qaHi5/zTFkHkHVGHPEuPgPB4z91860zXQoKlYduG66senoWmP+zvONSRXBQr0qqPiO35lk&#10;BfuYGDTjaK4Usq7V1zF14+VG4CKf7bVTVHOFwelWH9heV8D31X7k8ddsMh/HpGP0mqNdPeW1X9Dv&#10;B7rrrDi3kl12qFbRruNLjDP3YJaDYF4jZZt/uAM1Z8ujmR58QgkhhJCYWNOpdP2JcW7/iZtR+NIF&#10;m/qqMaZtupyiImrKhmM2zw0GPKn+l9NXe7vHW+1An13zoWu3oJXb7as5W7cgQ1M2HjMWVh4w1p+/&#10;2dgpBbQDYmrsCm8UZSf0Xcdo06sPblfT6U0KTcckhjhQ+448ayvl0WsXBXwxyNmu9cfWopuEvgYI&#10;RnnOjguNhVUHjSV7zzZWimled/4WiopLZx3YoZ4fPEezth2p965AHn/1o2W+monm40gIIYQ0nxHL&#10;arvByDgDtTOc3ppVYgRWU3W6YtPSz/xqV8lftm7Yfrbd+pSWt3aW03fclSx9IFsSRF145P3w+Gq+&#10;6fZWf2gtoFENNTNwue1yqk4Ybdrjr/2Cw3tsiqONB9dKBI5AzUC37/h8SRtqPP6ap9z+2t8H+yTb&#10;X3+qa3Kg2jixZYn6a7eeCkoM8G/cvuofurzVF4mmj1l/rMR85AghhBDSWry5K8v/5q68f721u7Nx&#10;qir3wzd2ZTnMVYSQCLyzNcvxVlXO+29W5v3ojV1pST3gGiFtxRuVOQ8ib3mrMu9372xOG2QuJoQQ&#10;QghJHow1aZ3erMq6URVaLDpVmff3t6qyl5ibEULCeHNXp1lS0FeVSeqd2Z3zpzd3ZI03VxOS8ry+&#10;La3PW7tzn6uXt1TlfvjW9sxJ5iaEEEIIIcnBW5U5d1sLLeF6syrnctmMA30QYuHNHTkzVeVR+DtT&#10;lffPU7uytpibEZKyvLozewSiKRq8I6I3K/P+8dae7KXmpoQQQgghbcdvytMKT+3Kedqu0AKdquz8&#10;sfpb1fl/p3bnftr8GiEpz5t7slfLe/FJ+Dtj1amq3G+960/rYn6FkJTi1K7cGaeq8j60ezeserMy&#10;p1Y2Z8UrIYQQQtqGUzvS+kmB5A+6cCKF/J+8szt7Ub0Cy47sYVKwORX6vDv7x+xDSVKdtyuzl+u+&#10;+NCpXXkvhd6Rqrzfv1WV90rd55y38K6ZXyUkJTi1O/uQfgdOVeZ9LHnNFXXvRN4/T1XlXmyteH1z&#10;V+5nza8SQgghhLQer+9OO+3U7rzXQwWVypz7XtuQlvvOntwZehmEbd+rTOv69u7cZ+q2zf6h2gkh&#10;KciblXl79buAAv/blbk+KeifpZchbBTvkmz3tdB2VXl/e3NX9mJzF4R0aE5V5hyXZz4UTSHvwurX&#10;KtN6hz6LMZZlnrd3Z49ExZFefqoy+3FWvBJCCCGk1UFr8FuVuWulEDPUXJRmZ4yBGpxLCjJv7spb&#10;xYILSVXe3Js97M3dnd/W78frlbkBLBdzPNVqBH5lhk+/XZW9Ut6bv56q7Pzft6ryjmEZIR2dt3Zl&#10;r8Fz/0Zlzs/e3Z1zGpbZGWMs/+2etO6SD91itipf/dPVaXlYTgghhBDSpkQyxoSQIL9ek5b9VlX2&#10;cCnQ55iL0t7ak1UKI6Dfm9d2ZY8yVxFChEjGmBBCCCEkKaExJiR+3hEjfKoq973Qu1OZM8dcRQgR&#10;aIwJIYQQ0q6gMSYkfl7bkTNYCvuv6ffmjcqcjeYqQohAY0wIIYSQdgWNMSHx81pl596nKutGpn57&#10;T+555ipCiEBjTAghhJB2BY0xIfHz2oa0nqeq6kZuf2tXzrXmKkKIQGNMCCGEkHYFjTEh8YMBuU5V&#10;5f0k9O7syrnXXEUIEWiMCSGEENKuoDEmpGm8WZX73VDBvzLvR5jizFxFSMpDY0wIIYSQdgWNMSFN&#10;41Rl7qfrCv6dn/q/zWndzFWEpDw0xoQQQghpV9AYE9I03tqdeyRU8K/Me+F3O9OKzVWEpDw0xoQQ&#10;QghpV9AYE9I0Tu3K2WQp+L+GKZzMVYSkPDTGhBBCCGlX0BgT0jROVXZeGCr4785996192SPMVYSk&#10;PDTGhBBCCGlX0BgT0jReq+w8IVTwr8z94M3dWePNVYSkPDTGhBBCCGlX0BgT0jR+sz2tMFTwr8z7&#10;91tVuZPMVaQd8/vtuQNP7cpbQTVPb1TmbAy9HzTGhBBCCEl23t6dO+1UZef/6gIMRVEURSVSb1Tl&#10;fSRm2WVmO4QQQgghyQfmXn1zR87Mt6pyN1AURaWsdufdrY3cm5V5r75emTPntcqsCVTz9fb2tEIz&#10;yyGEEEIIIYQQkqy8vSf3PG2MT1XmvfRaZefe5ipCCCGEEEIIIaTjQ2NMCCGEEEIIISSloTEmhBBC&#10;CCGEEJLS0BgTQgghhBBCCElpaIwJIYQQQgghhKQ0NMaEEEIIIYQQQlIaGmNCCCGEEEIIISkNjTEh&#10;hBBCCCGEkJSGxpgQQgghhBBCSEpDY0wIIYQQQgghJKWhMSaEEEIIIYQQktLQGBNCCCGEEEIISWlo&#10;jAkhhBBCCCGEpDQ0xoQQQgghhBBCUhoaY0IIIYQQQgghKQ2NMSGEEEIIIYSQlIbGmBBCCCGEEEJI&#10;SkNjTAghhBBCCCEkpaExJoS0OmO91b3c3urlbt/xT7l8tT/2+Guecftq3qIoKjbJO3PK7av9pctf&#10;+wP5XOP2nZg/dOGeHPMVIzHicGzP8viPe+QeXu7x1T7k8dc+NdFX+5r1XlMU1bgkH3/R5a35uTNQ&#10;e7vbf6JiwupjReYrRiw4vdWnS9mnyu2v+Rrul6TjL9jdT6rtdOWWRX/VxvgXu/r+Z4H/wnfttqPa&#10;RpJH/170hMdbfZ/TW3PAs+7aUebrRUj7YmJ5jdvjq/7+xMAJw6o1Gw4Y+zcFjMu3rDRu3DbPuH3b&#10;DIqiGtE1WxcZl25eZezbtNFYUXF+vffJ5a/5hxS4vjHJe/kg89UjYaDQ7vZdeavbX/s3671bWHHE&#10;2LNps3HJ5tVGzdalxm02956iqDp9Ztts44otK4zzN5cb/g376qVFkMtf/bTbd3y++eqlHKisnOg7&#10;sUcK9L+z3pdpgWPGlk27jAs2r1dln1u3zbS9v1Tr6xs7yowf7hyqdHLHSOML26babke1vmq2LDMu&#10;3rzG2LZppzEjcEW9tEbM8jtuf81Rx5Kjnc3Xj5DkxBmoWeXx1XygH96zN20wHt05XNXGURSVGL1a&#10;1d24f8d4Y/PGyrqMwlvzqitQ6zRfxZSnbN3lQxCdou/P2g37jbt2uIzfVfWwvacURTVNj+86zTgi&#10;BVhLWvR3SYt2mq9ih2ecf38Xt//Ebfr6ZwUuM67butD45a6+tveLoqim6fnKYuOWbTON+RVH69Ib&#10;X803EZlqvo6EJAeuNUd7u/wnntYP6pVbFkvhvZvtg92R9Y2VOcYzm3Nt17WUfrUl13hpW57tukh6&#10;YVuu8eTG1jvP5+QcW/N4qaRXqnoaBzYF5L2rNcQI/s/tq/ma+VqmLC7viWNuf+3HSIu2bdxh/Lqy&#10;yPbedXTduyrHeHpT6753v94af3r0m+15TI86gN6o6qoiLyYFalQ5wOWrfQ3hxOZr2SFxrqtZhIoA&#10;XO/8iouNh3aMsr03FEUlVqiQW1pxQTCt8dd84iqv3mW+loS0LaoPsf/E23g4EZ74810DbR/ijq6v&#10;LMs25HaEtHFsJ9vtEqnf7cwzSksy1PGKOqcZux2Zxmu7ohdKP3dm8Fwz09OMeYMzjO95c43r5mTF&#10;XaCNVVfNylLHy5DjTe6XYfy0goXSROv+7RNUBgGJKXxs6MKj3eWepxTBPsQnvq7vw81b5xhv2tyr&#10;VNC9K3NCaRF01oiWT4+Q9kzsW5ce7SrNVGmU3bZWWdOjWQMzjJPrc40Tkma0VHp04/zg8XR69ENJ&#10;/+y2o5qm5yqLjZUbDgULrN7qD51rj42R+93hcPlPLER3Flxn1cYtxqndXWzvB9U6+n2EtOaJDbnG&#10;JVOzjIOeTKNPlzSja1aaUTMzy3bbWPT0xlzjWikvfXFJToupVs6vW3aa0bdrunHLwmzb86CCOr5l&#10;hUprPL6a/7h9NTvM15OQNmLG0UwphD+IhxK1xE/s6m/74HYUPbs51/i5jam7b1W20U0S2xIpDD4q&#10;hbrw9ZH0qhQkP70gW7Wy2K2PpgfW5BhdcNwu6cb1c7OML0mCatXU/hlGv27pxhXTs+oZ5q+bhebR&#10;henGC1L4RIaCbVBQRGJ81ews443KxBVKbzYLoiPy043ntrRMYZcSc7xjvDE5UK1ajj3+2u3qHU0h&#10;UFBF5ojWc/QVs7tHHUmR0qNvrc4xeuakGYV5aca3JY0IXx9JSCPwrv6yia3MD63LUelHgRwXaUh4&#10;ejRnUIY6p0umZhq/t0mPhvRMl2PnqXSxWgqGWRktkx6FH89uG6p5ermylzErcHmwoq689okRyw52&#10;Uy9pB2HE5oPdYPpxff4Ne41XKnva3geqdYS0R34WpU5SjtnrzAyte2l7niorfWNltjGsV7pxWo90&#10;49Hy2NPFcP12R55xw7xs43IpM0FXz8k2bluUk1CtGt5JXcvpcq53S3r1ZpX9uVCdjderuho7N20L&#10;VsT5az5xlB8biXeUkDbB6asd4fHWvIsHsnbLUtuHtiPpe+W5Rn5uMOFFi0hvMaQF8lluhZEhwud4&#10;lJtZ16KzIc4WZoRQo5AJM3uuOzOUSGttHZ8Z2vf5E+u33Ny2KGhUxxSlq0xDL/9pINcYLAmxozcM&#10;bNMKx3a6YW7weOOKM4yXJVOx2yYRqiqru2arZg7MqFcQ76h6paqH4TUHxXF7a16Wa08pMNI0rn3V&#10;hoPG8ykQPv19b64yoUgDiuQv0hSkS3IrmpQeoZIN34XWjIwvPUJhsV/X4Hft0qNKy7t5QNa/YkkH&#10;wivq9HK09Jwu5rW0JN34VQK7qKAFxu54zdF319YVzKMpp1OaMXdwhvGkXJ/dvjqKvrhtSrCw6qv+&#10;sMxXWybX3mHwBE6cj2uDvr1jrO31p7oe8+UaxWZ6pIXKMbttIayzbovoE6QrdttahYq84WJ4UZF2&#10;a5TWVZThkF6Wj275CJpoQmXfHUtzbBtGLpgUjLKLNx1OVT21q596F4PpTc0tcu8IaRs8/is9bm/t&#10;P/EworXK7oHtSPqhJPRFndON/t3SjZ8lIBxYFxYn9YucWdgJrUQDugUzD5jjdaM61WsZel0SXJ3J&#10;rJd11u9C55uJrrtPRoOWGGQsyMyWDsswHvcnpuB2yBM8HgrvLRW2eLtp9u2EjBAt83bf62jC6NU6&#10;g5BrTyl0Jd3GjVXGG1UdP6wx0ekRwg3lNsadHqG/7pCewXcN6dFZIzKMe8Ts6vVIj848PZgerRze&#10;MD06PiN4XGfvjAZdQb6wOFuFPy4ZmqEK2tZ1TZUudKJS8/tSULbbJl59WQq42KdVuvUHYZsXyjFH&#10;FKTXW490CWHkdvvrCMLAm1MCx830qHaGXHOHweWr/apOZzmgX2RhjAM0JsgtC2lCcbqYwe89bjoA&#10;AGppSURBVLr3HP9jmXWbRZJevFHZcH/hQgOBNt+fl7TCbptwPbA6x+ienWZMH5DR5IoxNCIM6p5u&#10;jCtKV5F5C+V84xXSSn29uAZreDeNcfyaG7gkmNb4a38g946QtsFqjB/eOdr2Ye1ISgZj/Kn52UZ2&#10;RjBzeVYyBdSoLhcTi/30lgLkj8XMHpOCJlqMECqIsEoUwLC+l2RQaBFGzar1cyQN7ZVu3L2i6SFH&#10;Wg4p8OJ40M0tYFB/viHXGCCZlD4GQrZ1+LYW7pld2GlH0/7NFWZBNHWN8ZaNlbb3pqMpGYzxF6Uw&#10;infrjMJ01fcOxnatFOawH7Rmo1X7mjnBbhqDuqcZ31mTE4qUQZg00hn9OVp6hPTsq8ubnx7pftBQ&#10;c/oaWmVnjMO3QTjkkqHBe6M1d3DHLfh+X4zxtBQwxnbXTtUJ5hiRH3LbQkIejbLL62J+ERFiXbdS&#10;yjOR+gtbhXBomEtEqqDcY7dNJGGQVJwD0h6ke+EVcrEIhh6VglCix0OgMY5fCysuDqY1NMakLUlV&#10;Y4yWhqulsBfehy5eLRkSLKDFUhCFCR5ZkG6MLUo37j+rYZ8TtO4ic9jnDJpthEaioGrdBvrq8jrD&#10;eOeyHGPL+E5N7lMYi37oDRYYUWuMFiFkgnbbNUe6IK51n9wfLEc/I+tyVCa01IA+ySIa49QzxolK&#10;j3yjg+9RLOkR3iO8TzDEdukRWlR+JOnR4cnBAh7ef7uKKRhlrMeAOKjE2zyuU4uGGOv0qIeYcrT0&#10;oHBst128isUYPyXpMfo36vWooLy9A7cY0xhTWjC6YyWtkFsXUt8uacZAS4U2dN7Eur7BkYQIFAyk&#10;he1XDm8YZQIhuiSaucZ+bpqfrcwxKvd2OzoZL1u6lsUq9G/GOAgw+Xbrw4VuJFul3FU9Iyvi4IQ0&#10;xvGLxpgkBalqjFHIQ/jfrYuym6WFp8VujLVQIEUB8rJpWcbqEZ1UwTS7U3AALt1HcFLfDOMFS6iS&#10;Fgqcp/cIhvBdPzdYIEMGggJuv67pKoz6VAIHeUCYNvrS4ZxQK4v+NCgMHpBMzW77pgiDhmH/Wocs&#10;+0atMFq9reuxvfX7HU00xqlnjBOVHukKpnjSI7T66PQIhTiEFuZJQRPnBGF/iBixG7MAFXIYDAfb&#10;3DQvmB79RAw10iMMZIjomEQOumVNjy6ekmV8bXmOSjvRJ9pu+3hkZ4wjCX2MUQhPVP/mZBWNMWUV&#10;pmVD2URun60OerKiDjKFCBTk6ajQ+kGEblmolEN5Ru93Sv/0Rg0vjDVm5dDpFVqhA2M6Gd9Zm6PM&#10;s913rHpwbW698RniUamkdXb7pDGOXzTGJClgKLX9drEqnlBq1H6OMWtcO0sifOaQTmo0RLRCPObP&#10;VTWvCE2M1JcW/WqwXvW3DRugApkRTDHWIVNIlEG+c2m2KnhiZEW0Xr8uGdCC0zqpgmGs/YEaU/jg&#10;HsgswwvgCL3U6yGEmKOVyrpNRxKNMUOpm6p4QqlRmAylR2KE55+WYVw1O9v4xYZc43EpmA6XdxHL&#10;UeC0+/7D63JVeoTvo5LOWiDG/+hbnCvpBLa5RtK5RKRHX1seTI8Gyv36hdwvGOU1IxKTHtkZY2sY&#10;eIn8TuHrkRahn2MsAwy1R9EYU1Yhb0bFmdw+W5WP6hTRiMIQu/pkqEqzB8Ww2m2jNcscXwVT1MUb&#10;Iv1oea7hHR1ME7APpEEYw6WxdxRpGfosxzrKvR5sEFNtssU4caIxJkkBjbH9drEq3j7GSJxxDvoz&#10;WkQx4jJaYfdGmMMYCf20/sGMAq0lT22MnHCjUKtDm1Ari9Ybu+1iEWpRUQhFxhI+4NZsOWcco3ZW&#10;81pvUajEfrT6dwtmNuHSBXAtOwPdUURjTGPcVMXbxxiFOozyqj9b06Mt4zrZhjKigg7dQXAcbNtY&#10;v39U+g01+ybCXCI02267WKTTI1T+nZSCrHXdimHBlvIjU5qeHsUSSg09vzXPGC+Fe+t2uB9oTbPb&#10;vj2LxpjSQlcwvMNy60LCQHzWAaggmFLb70vaEq0CCa3C6B6B/WAOdbttoFckXYLs1lkVy+BfEI1x&#10;cojGmCQFqWqM5dITqnhCF6G7VgTn48Pk79fNQbhh3Tr0c/nSkmxj/uBORqYUUFGwxBzHsQxmAWFf&#10;OnPBqIuYMsVuu8ak51HFKNR28zpjyiYUijHtFfpEh6+PRXsc9fsPxyvrPIcdSTTGqWeM5dITqnjT&#10;o3tX5RijCtJV9MaJWZhzuP56mMbFQ4LpESresE086dFSc8CqpqZHiBBBeoS+2N8Vgxy+Hn3+5g3O&#10;UC242yc0LV2I1RhDMODW7dDvGJUAdtu2Z9EYUxDGPsHAoHLblFA5hTQA61D5rkOYtVD+iLevL0yz&#10;rnBCmaKxLhiY+s3VOzhey2O+5kePIX1BdEy8xnhcUeTrpDGOXzTGJClgi7H9drEq1hZjJPIofKKF&#10;FKFIV0qmYtfCgHDlnaWdjOvnZTepAKmFQiv6LKLWNZ4MCnMFbxoXvCaM/BqtDx0Sf5hjFHgxgI/d&#10;NnY6uS5HDZ6D40B9u6ZFbd2unVm/MAohXNNu2/YsGmO2GDdVsbYYI6wZA9whPcJcwMemZ9m+64jK&#10;QBqCUOnmnN+rkq5goBqY1hfj6JeLCBo9tzkKzWh1sttOCwOFIT1CeoL01m6bSLIzxjAEWpjnGF1Y&#10;ZpjRMlYddEfvW9keRWNMoSIKYw7ILQspfCR45N1456zblJWkxzyY1Q8kHYTxxj6QJtptYyd0n0Df&#10;YJRVfhklbWhMegYMmGOknaj0j1WXTrOPUqExjl80xs3gf2lpE+WJOx9/zUUN+CQtbTMk25SYi9oU&#10;Od/O5r9xI9cwTL7fyfyYUGiM7beLVU2dxxg6KoXY0QXp9QbZgrlEBmFnEp/ZFJx3b87gDBXWZF2H&#10;Ab2QSGP9dXPjDydEARSD7yADhGHFQDqnqmIrwKLQqMO30aITy/QpKIxje61YB9TSIZNag+W4LTkC&#10;bluIxpjGuKmKN5Taqmp5bxHF8qvNde/9g2tyjP4RKq0QUoxR9iOlRwtOy1Bp2eVNGCwPFYkw0kiP&#10;UPC9UdKjxlqQrMK56vBttGSh4BpLAR0j/OM78Qj9sjvyFHI0xqmte1eK8bSYYnSxuCVsfBMtRExY&#10;B8yCRkh6gnKL3fYQ0gkMGIj9nutqWqQH0iGYcBwPlXiohLPbrjGhtfpTC7JVpF6s6Uw00RjHLxrj&#10;JiImccB/09J+B4nxPU8+V0Ly+X75/LbobFGV6D+y7E69HpJl54heleXPfpyWtsjcZasgx/2XvCVP&#10;ybFvilN3iP4uOinXkG/uLmGkmjHGABCYmzPRxtjTNyOuwWU+I4kwBoc4XxJP63JkFBgQZ4Ccn12B&#10;C606CB/C1AQYlTV8/f2rc1RhEDWfSOjD14cL/WNgSnX/mjuWxm6IrcJ3PndmtprHFPcDrTYonOMc&#10;0Aodvj2O8xnJYCH0HQxfH0kI4f6CZF76u/gfy+y2ba+iMaYxbqq0MY43PULLC0woxjmwLg+GN2ao&#10;eUYxUqx1HfTS9jw1oA4KtudPbJgeoT8yKsuQ1mEu5PD14UJagYo1pEfoz/hFeb+bmh7hu+iqgvuB&#10;EGuc5w1isCP1CYQwZR7S0Eh6YE2OmtPV7rsdUTTGqS2Ul3Rei1Hvo6VRSC++bMnbka7YRcbhPUck&#10;SD9J9y6YlGn8wJuj0kLMegFVz8iWckm2sWNCprF+VCdVyYapIpEm9Mipb9THSHlo+bBORh8z1Htk&#10;fnJM6UhjHL9ojJuAGMNxYjBfk78bRF3ELH5JdI88fRPMTdLk8xWyzS9kfV9Z3lM+f090Kz6bm7QJ&#10;ck7vynm8JfppnHpG9G/RSVyPubuEkWrGGH1nUUiDUHhEWFxzhNFR5TYaE6TwiH5udse06oa52aqg&#10;iO9sHW9fQ7ro9GCraHghVQvmWE8tsN9mmhKEG2qDumq4fQH5dsnkYLAxqNV+V6aqdQ3fpilCOCEK&#10;jwtOz1D9kHAOWrjndt+h6ovGOHWMcaLTI1RuyW1UU8DFErKMEfBLzAIlRoC126bcnBsZg3HZrUdh&#10;WKc3dv3+kV5hKjqsXzwkw7ZFBl0inL2ZHiWbaIyplhAGFA0ftAsaJMYX6SCM8LYJnVS0CcKcUcGG&#10;SJDGKrWwTpfHIqVliRbmP0aUDQw6xl/oI+mcVq6kLziXLRHKeVRD0RjHiRjbraK9ohIxmTpMegGW&#10;iWm83fz/HBFMM/7XWiTr0fIKE40W5FJzl62KaYyrzY94Y9JxfrL8CdGF8rleqLSsmyLb/1nW/Un+&#10;jxgy3lxSzRgj5G/DmE5GhSgRtYqYSgjTFwWnI2l8fxiwBYUzV+8M4xsrcyL2SfvMgiwVEv2lJZFb&#10;fDGpPcKXMZ2S3XpMt4LC8eqRneplJqiVxSA1aDmJxcg3VyfX59i2NFGRRWOcOsZYp0eBMzAnbvPf&#10;k3vPylEj1189O3pI4DWzs4x0yYrQEoN0LFJ6hFYfRLDctihyeoTwSoRRRurzj5am0hK07NQfrEan&#10;R9fNbZ3ID6ZH8YnGmGopIdrkosmZ9bqSNVfYF8YiecRmwNDWEmbwQNkM03HevSInYaHZqSAa4xZC&#10;SpKGGMl95scQsmydua5FWo5lv91FR0XjzEX10MZY1o+V/38m/39GdLXoU6JfiW42P0MPiX4jusX8&#10;fKcILeXTzd0ljFQzxhSV7KIxTh1jTFHJLBpjiqJaSzTGTUTMYZ4YS4QY/0H0k3DB/Mpf9COut1y+&#10;87K57ivyN8vcnULWbZPlMKYJkZzjYnPXIeQYf5Tl+0Tj5f8P5O9u2faE/P+c/D9Hzqm3fH5J9FVs&#10;L8tmybr35TP6GCtjLNsMVjtLIDTGFJVcojGmMaaoZBCNMUVRrSUa4yYihnGlGMZ/yt8yc1E9YH5l&#10;XYMWY42sGyWaY35sFeScMBY8zmupSBljMbrfFV0l+rp8fln+flr0ZxHM8eOiF0Q3iK6S7z4l27wu&#10;f2mMKaqDi8aYxpiikkE0xhRFtZZojJsIjK2UFqfK30lhKhfz+EcYUDGT19qsV5JtnhY9If8PMXfZ&#10;4six5skx0Vd4jPn5LDnHH4uug/GNoltFL8h3dqudJRgaY4pKLtEY0xhTVDKIxpiiqNYSjXECELPY&#10;TQznQRhiMY8YWKs/jLH8tW0xluXDZbtP5O+Z5qIWR84nQ475ddGD8n8mlsnxF8o5/1v+7hHNb0zy&#10;vStwTaLeaocJhsaYopJLNMY0xhSVDKIxpiiqtURjHCdSQsQozsNE54hZ/IEYS/QZPl8+Dzc3UcBE&#10;yjJljOVvgQitswhJfh/r5O/l8rdeH+OWRI6/RM7153LMXHORNsYIB/eYiyIi26hBw0Q0xhSVAqIx&#10;pjGmqGQQjTFFUa0lGuM4EYNYLDrN/GiLrO8uxvcl+RswF7Upch7DReVSuq03FZN8HizneaeYY0w7&#10;tS6Kjogel+90Nr+eUGiM27ee2Jir5vd7bkvs0xNgmiZ858U4pod5dVeemq6lema2ce0c+0n7qcSI&#10;xpjGuKXk7pOBZyqkry3Psd2uqWpOegS92sg8pVa9JukRppFCeoSpqV7YyimYWkI0xlQy6lebg+nF&#10;U5Le2K230+uVnUPpTKzlF0y1hCmXkM5Av9jAdKYlRWNMkgIa4/YlFCKrZ2YZQ3sFJ7K3ChPh230H&#10;+qEvxzitR/3ttfIy04yjU7OMUxHmMf3OmhyjwJyMH9veMDfycajmi8aYxrilNLqwvjH+8tLmGWPM&#10;kX7VrOy40yPMJTwiv+F3oOxOacZ5EzNjSo9yZNsrZ2XZbkc1XzTGVDLodTGonz0z2ygrSVdzr8vP&#10;F1JlWabtdyAY6On966d5WhmiDWM7Ga9EqIyD6R5uplGd0tOM/e7Ix6ESIxpjkhTQGLcPPSiFwb5d&#10;GybuVkUqiMJMo7CJbXrkpBkn1wcLw5hgv0tWcHl2Rppx/1kNC8m7SjNVBoJtxhalq4wmfBsqsaIx&#10;pjFuKSXKGD9anmP0a2J6hJab7tnBbbpkpqm0DcthsnvlBpdnSkH0vlWNp0cjpdD6ZBwtRlT8ojGm&#10;2lK/qMg1xhfbV6BpNWaM3X2C34WZhrHWy52969LBq2wq1mpnZqlKN6wv7pwu6R3TmdYQjTFJCmiM&#10;W0do/fiBN1e1bmwY08lYNqxOAfmMVuDGwntuXZhtZIl5XT2yk/Gt1TnGLzflGUN61s8wIhVEUfjV&#10;2/Tvlm78TDIbvW6apTb1Mwvqvv9DX269gu8Fk7JUra1eT7WcaIxpjFtKdsYYRhWFRqRDOk3aMSHT&#10;+LZpWO10+6JsVdm2dGgn4xsrc4wXtuXJvmNLj+4Vw6u3CU+PZg7sFFp3Ylbd93/kzzUGdKvb99mu&#10;TBVOrddTLSMaY6qpQnkGkWiozKoS83rZtCzjGZuK9UfW5xoXSvkC2+G9RjSJXoc0CFFq0wdkqK4T&#10;6NI1qV/9NCySMX5xa15oG1TEPbyubr/4jl6HVmO9HOdXWlK3//JRnVTDgl5PtaxojElSQGPc8trt&#10;qEuEo2loz7SY+s3EY4yflcQ+Iz24TTfJIB5aFyzwvrAt1+hqthjrjAOFzZ2SQel9Du6RXi+jolpe&#10;NMY0xi2lcGPc32I27dQzJ8344hL7dMWqeIwxWoZzzdYY/NWRKiiA6hZjRLI8uDZHpUd7nXXp0QAx&#10;0j8Wkxy+T6plRGNMNUeHPPXLPgXyfj9qRqxBdyzLNjqbZRAILbkvSVpi3Ue4YjXG0IDuwW3QYnzz&#10;/LqWYUfvYFqFctHnzsxWDRfXzc0ORaPgPO0i6KiWFY0xSQpojFteGLRq1fBOqtU3PNFHwQ8tyPJT&#10;hLRuVF0NZiTFY4whFDL7da2/vdag7unGVyWDQsvN6eY+0afmXBf71LSFaIxpjFtK4cYYBcaFp2cY&#10;J9fnSuEwTw0ug7TKug309ZWNFxLjMcYQunMg3bFur4VWZKRHqCAcZvZdRgEWrU52+6JaTjTGVHP0&#10;phjOCydn1Xu/EWnyTTGdV82pv/ysEdHLPVA8xhjpmTbB4UJjwFWzs4zf7sgzZg2s2yfSP7RM2+2P&#10;alnRGJOkgMa4baRHVYS+sDi7XoKNwqvdd6yK1xiHC4VOa2j05dOzVD9j7Ad9ahDe9Lic29KhGUam&#10;uVwLrcznuDONlzkydYuIxpjGuKUUbow/d6a94fWfUb+lZ6YUHO2204rXGIcrPD1CHz+dHmGgrYfW&#10;5RpPyzYoPKNLifU46Au4x5Gpxkyw7pNqvmiMqUQIrbIIiZbbbivfGbGb0XiMcbie2ZxX7zh3Ls1W&#10;UXTYD9IRhGsjBBxh3daWbAityWtHdTKe2cSIlZYSjTFJCmiMW14wmPMHNzSYkdQaxlgLhc0xlgLt&#10;erNPzXfX5oTCrBHW+H1z8IkDYoj1thgUI3x/VPNFY0xj3FIKN8aRBt9CWKF1Owy819gYCM01xlro&#10;4zdOjqX3gdYbpEcY7EuHWaMAi4o7bH/Y0hqF1uXw/VHNE40xlQghVLkiLDJOC2OZxNOPtznGWAtp&#10;Gcpkeh9T+2cYz2/JU9PNDbLM3nHbwmzV6n3jvOzQYFwYwNSurzTVfNEYk6SAxrhl9SNfrlHSuS6h&#10;LcxLM+4IK4w+vK5uMBqoNYwxMqoTs7JCfWryw/rUnDexrsC5yhLi9D0xyNhWr/uRr/EQSyp+0RjT&#10;GLeUwo3xZyO0GC86vf520cIcm2uMkR5dO7cuPYIJRrilXl89oy49WjGs7lwwSGBR57rjfk8MtF5H&#10;NV80xlQitKu0vinu06V+WjGoe5rxRIxzBDfXGGPwP2ul/6ctg47eszInlAZZK9rCy1swynodlTjR&#10;GJOkoMxbPdblr/kzHsZbt820fVippguJsDX0D62z1n7GCMtZLgU9vR6yM8boi/zzirrw6wdW5xgD&#10;u9XPXC6ZlhVaj20jjdqK2lJP37rvrpTjh4cxXT27rsXI3bfufDBAV2iqFclUrN+hmq/XqroaFRt3&#10;q8zB7a35QO5zSuHxVT+Ja1+/4Rzj5apetveIarrCjTH6GCNMGn2I0Wpzj6RXrrA+eRiAK7zQirQF&#10;/fd0eoPKvfC5jK3pEcYviBQqiePOGFB3XjC+4dtixHy9vrSkrsCKvtFowcFypLOxhmNSsene7aUq&#10;LfL4a//tKj8xSe5zh8Hjq71SFcJFP9k12Pb6qeYJ/XeRvsjtVsJYAajkQreJ8LFV8B4jus76/Tdk&#10;O0zJptMRCO+/9Xv+MzrVW4/B/az7sCowJjM0DzIG+npuS/1tMeOHbhmGeX7V3BfKUxj4Tx8T6Z31&#10;e1Tz9XJlr6ApFjm91ffJfSakbRiz9FiJy1v7Ih7GsyoO2j6wVNOFRBpD/sutjihkFtZCpZ0xRuuL&#10;9TuxCNMjhO8H/Zn13MXIAND3J3wbCObdOtcfRq9198kwOpv9hLrJPjhqY+L1xK7+xqKKi4LG2Fd7&#10;j9zrlMLjP3EM1z4zcLnx2M4htveIarqsxnhK/wzD07e+UQ7XoB72o0DDSNtt35gumdowPbojrI9f&#10;Y+mRR9Ifva+SLvXTI/RfvHMZ06NEa/emzdoYv1nqPz5U7nWHwe07Ph/XBl28eY3t9VNNFyq8ysIq&#10;2c5xZanQZL3NwbBRq1EJ94BlmjhrRXysWjOyYXTLI+tzjGJL5B7SIpju8O1QsWYdfBBm3SXpDCL9&#10;8BmDktbMbJiOUc3Xp7fODhljV6B6j9xvQtoOt69mtX4gz91UYbxW1c32waWaLtSQojXmiunB+frQ&#10;V/cmMbuY2xgZxS835Srze8O8bMkYGhZE0cqL0ELsIxZh2/A+gXcuzVHzAaJAvF+O/6Kl5TqSsA+c&#10;F0KrMZfxZxZmc7qUFtLvq7obvg17dUH0HaevdoT5iqYMY1ce7e/y1r6Ce7C44rDxUmWB7b2imib0&#10;zUUag1DAx3zB9xiFQfQ1xlyiG8ZmqrThUwuyG00fMPAeKsbs0h47IXImfET++2QZWpPiTY9wbjo9&#10;QhjkDyUNtduWarreqOpiXLFlRaig6vbXHDJf0Q6Fx1dzE65veuCY8a0d42zvBdU0IcoEaY2WHqfE&#10;KpR9UFbR2yBdetSyHRoWMJexXZoSSQh7th7jFxXBMV6Qzmwe18l4Omy9nWDq716RY1w1O5jW4Lwa&#10;m9edap6+v3OYMSdwSdAU+058x3w9CWlb3N7qNWKQ/4UHc9PGShZIKaoV9YtdA42lFRcETbG39iOP&#10;t9phvpoph6RD/eUe/An3Yl7gqHFyx0jbe0ZRVOKFivGDm/ySFtUaLn/tx/I+nm2+mh2O/qvPyXP5&#10;ar6DtAaq2bKUDQMU1Uo6VdXF+Ny2acakQE2w7OM//rPxy6/tab6ehLQ9nvLaYR5vzfN4QCfLg4rW&#10;42cre9s+0BRFNV+P7zzNCGzYozKFYMZQ++3xG5gxjF5ztOvEQM3n9X1ZVXHIeGgHBwekqJYS+vgd&#10;3bzamGoOtuXx15xKlQq6SYETazz+E3/Bdc8IXGHctHWuiuCxu08URTVPr1d1Nb64bYqxwBxsy+Or&#10;/cjlP7HLfB0JST486497PL6an+pCKWpztm/cYdwsmQX6/b3KGlWKilsoeD6yc6Rx9dYzDf/GffJu&#10;1ar3C0J/YrSUmq8gMXGUX1Xo8tXcou8T7hnGQqjdstT49o6xxq8rC23vNUVRkYWC6U93DVKtNXs3&#10;bTKmBKpDaZHLe+JF9L+V1y89+BamCkcz3N6aLVJIV9Eq0OzApcYFm8uNO7ZPMp7c1d/2XlIU1bh+&#10;VdnbuGdHmXFk89qQGYY8/pq/yjt3yOHYnmW+hIQkO5JRSAbp9tfeqUMbqSRXxZX2y6mkkstX+5rT&#10;W3PDRF9tmbxoKVYAbRqeQM0ot/d4tRRcX7a7p1QSiOlPuxNGv8cosJIerWIBNcj45Ud7ustrdkjB&#10;/THdxYxKUjHNaTdSo9t7a37u8lbvn7D6+iLzdSOEkMQz4+jRzIUXPXTToiMn/77wopNnmosJIaTF&#10;YfpDCGlt5pz/neGS5pxadNHDP56x7z72TSWEECKsubvTwsMP33XmxY8YWgsOP3xJ2tGjGeYWhBDS&#10;MjD9IYS0MouOPjx7weGT/9ZpzqIjj7y68IIH2QpJCCGpzIyjPyhccNFDT1oLpcFM4uH/LTjy8KfM&#10;zQghJOEw/SGEtDYLD59cs+iih//ZIN05fPK9eRc+PMHcjBBCSCox97xvDVxw0cPvhmcOVjHEiBDS&#10;EjD9IYS0KohOufCh6+zSGq2FR05+Mv/wQ+vMbxBCCEkF5l/4qHvR4ZN/1pnBgiMPv27NHKRA+mzo&#10;/yMnGWJECEkYTH8IIa3Nwose+ZJOVxYcPvnRooseeS+UzljTnMMPf7zg8KNV5tcIIYR0ZCRz2GzN&#10;ABYeOXlANEMvg+btf7jLwsOPPFS33cn35l/0vfHmLgghpEkw/SGEtCZzzn+kYP7hh58IpSdHHnl1&#10;1uFvD1pw0clnQssufnTfmYcfnr7g8MMf6GULjzx858I9D+aYuyGEENLRmLX/24PQAqMT/nmHH96A&#10;5eEFU7WxIMsvW3j45H+xbMGRkw+biwkhJG6Y/hBCWhtJR87W6cjCi07+ZMbRH+RiebgxVtsefnCI&#10;GOI/qWUXPfzPeUce9mA5IYSQFCJSwZQQQloapj+EkNbGzhgTQgghLJgSQtoMpj+EkNaGxpgQQogt&#10;LJgSQtoKpj+EkNaGxpgQQogtLJgSQtoKpj+EkNaGxpgQQogtLJgSQtoKpj+EkNaGxpgQQogtLJgS&#10;QtoKpj+EkNaGxpgQQogtLJgSQtoKpj+EkNaGxpgQQogtLJgSQtoKpj+EkNaGxpgQQogtLJgSQtoK&#10;pj+EkNaGxpgQQogtLJgSQtoKpj+EkNaGxpgQQogtLJgSQtoKpj+EkNaGxpgQQogtLJgSQtoKpj+E&#10;kNaGxpgQQogtLJgSQtoKpj+EkNaGxpgQQogt4QXTRRc/cgFFUVRraMFFj9xqTX8WHDm52G47iqKo&#10;hOmiR96uK/PQGBNCCDGZf+FD7oVHHv6HtXBKURTV2lp4+JEbFx155PN26yiKohKtRUce/t/Cix7Z&#10;bBaHCCGEEEIIaRsY0kgIIYQQQgghJKWhMSaEEEIIIYQQktLQGBNCCCGEEEIISWlojAkhhBBCCCGE&#10;pDQ0xoQQQgghhBBCUhoaY0IIIYQQQgghKQ2NMSGEEEIIIYSQlIbGmBBCCCGEEEJISkNjTAghhBBC&#10;CCEkpaExJoQQQgghhBCS0tAYE0IIIYQQQghJaWiMCSGEEEIIIYSkNDTGhBBCCCGEEEJSGhpjQggh&#10;hBBCCCEpDY0xIYQQQgghhJCUhsaYEEIIIYQQQkhKQ2NMCCGEEEIIISSloTEmhBBCCCGEEJLS0BgT&#10;QgghhBBCCElpaIwJIYQQQgghRHB6q093e2su8PhP/MzlP/HxxMAJg0oNLTj/W8oUQzN3f952G6pj&#10;yuOredfjrfmio7z2TIdje5aZHBBCCCGEEJI6TF5W283jqz5uNcJTNl9vzKz6nDFv/13GovPvNxYf&#10;ftBYfskjxvJLv0dRVDvX0iMPGYsv/I6x8NC9xpx9Xzamb/+0vPdX1hllf+1TrvITk8wkghBCCCGE&#10;kI7L6DVHs12+msO6MDx547XG/APfsC1IUxTV8QXDPGPXbRaDXPOM21fT30wyCCGEEEII6WgczXB5&#10;j59UBeCKq4z5+++2LShTFJV6gkGesuVGZY7d/hPvO8pr3GbCQQghhBBCSIch3eWr/pJuFVp43r22&#10;hWOKolJXSy8+aUzdenPQHPuq/+Uov6rQTD8IIYQQQghp/5T6jw91+WreQoF3VtXnbAvFFEVRZ17w&#10;rVBYtctfc52ZhBBCCCGEENL+8fiv9Li9tf9EYXfBoXtsC8QURVEQulooc+yv/YGZhBBCCCGEENL+&#10;sRrjRed/07YwTFEUBWFQPhpjQgghhBDS4aAxpigqVtEYE0IIIYSQDgmNMUVRsYrGmBBCCCGEdEho&#10;jKlYtPTih5Xs1rUnLb7wAdvlVGyiMSaEEEIIIR0SGuPmy7HmIiMzO88YOnW9MW3rjcb0bTe3iMpW&#10;nW+kd8pSGjGzwlhy+Du25xOr5p59h7Hg4Dds1y04+HVjwIQFRvEwt9Gz73BDHhWl3iOnGGdecL/t&#10;d+LRuCX7jJGzNxljF+9tFY1ZVGV0Kx6srgH3b+yZu41lR0/anhsVWTTGhBBCCCGkQ0Jj3HzN3HVL&#10;yDj26DNUzOPkqNImLSMzxyga4rDdJlyde/UJHadoSJkxf//XbM8nFi087z45h9NC+0tLzzDGLz0n&#10;tB6twzDOc/Z+0Zi65XojQ8xkXo8SY/r2m+vtp6mas+cLxtAp64wxC3e1ikbM2mBkd+mprrV7yenq&#10;muzOi2pcNMaEEEIIIaRDQmPcfFmNcemKg7bbhGvMwkq1fV7PEmPe2XfabhOu0yeuCh0HLbp228Qq&#10;tNZiP1l53YwZOz5ju41VjrMuFPOcbvQfPy9pQ6rRArzwvHtt1y048HWja+EAdc2493bbUNFFY0wI&#10;IYQQQjokNMbNV3syxjC1MLfYR2ZOFzn3W223C9eySx4xhkxeq753mnt5s8OQl13yqJiramOi75gx&#10;bduNYs4/bcw75yvG/P13NUllYtxxPTi/7M49VKj24sPfDh2PxjgxojEmhBBCCCEdEhrj5qs9GWOY&#10;Wny/W8lpxvwDd9tu05gmLD9gZGRmG7ndi4wZO6O3NDemBYfuMXr1H2306Dvc6DVgtFEyYpLRe8Tk&#10;xGjkFMOx5kjdsWiMEyIaY0IIIYQQ0iGhMW6+rMa4tRSvMV4gJrhr0SDVl3j4dJ/tNrFqrhh53d+5&#10;R59hxuzdn7fdLplEY5wY0RgTQgghhJAOCY1x85XMLcYIWXasPqwMcW63AmPq5utstzvzwgeMYdO8&#10;xvhl+43Ze75gu024PN7LVdgyzienW6ExYflBY8mR79puG03Ttt0sZruvMXreVmPOvi8Z8w/cFZPQ&#10;at2loL/RKSvXGDFro7H4IvuRummMEyMaY0IIIYQQ0iGhMW6+ktUYY789+45QI1+PXbzPWHr0Edvt&#10;IHf5FUZ6RqfQ/tEiPKvydtttrULfY/QV7lo4MPTdjKwcY5BjseHxHVct1XbfC9fsPZ83crr2Ut+H&#10;0UVLdCzCtqFzzu+r+izb7Z/GODGiMSaEEEIIIR0SGuPmK9mM8dx9XzaKhjiNzNyuxhkLd0UdRRrm&#10;NTOns9ov+uY2tdV3waFvqCmYtMGFMOr1oLJFtttbZTXGUzZebbuNnbCtOk5uF2Pmzltst4FojBMj&#10;GmNCCCGEENIhoTFuvqZtvTFkBE/3rDQ85ZdH1cCyM9X2mFt3wrL9ttuEC4NT6ePMqrzN9lwgjDSN&#10;cGS7deFC/+DcboVqn4OcS2y3aYpgxuOZ1onGuH2IxpgQQgghhHRIaIybr/HLzlGGCyoYNE6FEUcT&#10;RmPG9p2y84x+Y2bZbhOubsWDQ8dB+LLducSjWVWfNTpl5aj9DShdYCw92riRda69WLVCD3YtM868&#10;4Fu22zRVNMbtQzTGhBBCCCGkQ0Jj3HwtOHCX0feMGUbxULcxZ+8XbbcJV1NCqdHn9/SJZ6kWZrv1&#10;8ci9/jIx5bnKGLvWHbXdxk6YG7jf2DlGWnq6cZp7RcTBruLV9G03qb7JuCdNVXbnnmouZLv90xgn&#10;RjTGhBBCCCGkQ0Jj3DZqijFOhBZf+IDRZ/R0dez8gWOb3PI7ZdO1qvW4U2a2MfbMPbbbxKNpW8UY&#10;y75wXvG0GMcqGuPEiMaYEEIIIYR0SGiM20atbYzR33fckn1q2qYu+f2MqVuut90umtBiPGffl1W/&#10;ate6S0KDduE6MOiX3XeSQTTGiRGNMSGEEEII6ZDQGLeNWssYY4RpzE2c3ilL9VEuW3meEsKxR8/b&#10;ZgyZslb1X8bAXugf3RVzApstt3bK6VqgpknqM3qaMXLWBmPCioNq/mG9HmbZ7jzaWjTGiRGNMSGE&#10;EEII6ZDQGLeNhk5dbxrNXmrgKbttEiEMqDVgwoKQcdVC2HJu9yKjZ9/hamqnfmNmGsOmeVVY9OSK&#10;K42559zZ6LzHVqGPtW457t57SJs8RwsP3Wv0HjXF6JLf18jK7dbgeq1yrb3Ydh9UdNEYE0IIIYSQ&#10;DgmNcdsIrbRy+41sMcazdrecMdby+I4Z/cbNjTrydFM1/9yvGQPLFhqj522P2VC3hmZXfc7I7VYg&#10;ZrmrUTzMrULA7bajYhONMSGEEEII6ZDQGFMUFatojAkhhBBCSIeExpiiqFhFY0wIIREw0tLS/5eW&#10;Nka0XrSJoiiKiqiKj9PS5km6mW0moUmBK1Dr9Hir/47C7vz9d9sWhimKopZf8mjQFItc3tqTZhJC&#10;CCEESAFv6idpaZ/IX4OiKIqKrv+mpSVVS4tnXfXgib4Tr6GwO2PnrfYFYoqiUl4Y4EwbY4+/5piZ&#10;hBBCCAH/S0ubYS3wmYsJIYRYgBnW6WSyGWPg8tdcpwu88879mm2hmKKo1BWm/Zqy+XqVRji91e8N&#10;Xbgnx0w+CCGEABpjQgiJTrIbYwBz7PHX/A8F39l7vmAsuyR5RhamKKrtdOYF9xuTKq4OthT7at9w&#10;+y8/zUw2CCGEaGiMCSEkOu3BGAN3ee0Kj6/mg2Dr8ZXKIC+56Lu2hWWKojqulh19xFh03n3GlM03&#10;aEP8X7ev+mtpa9Z0MpMLQgghVmiMCSEkOu3FGJuku73Vyz3+E7/RLcjQlE3XGbOqPqdCrTFIF/ob&#10;UhTV/rXg4D3yTt9lzNl3hzF9x6dVpZh+713+6n+4fDW3ONac18NMHwghhNjRAsY40/wbDmooR4i6&#10;qE/JRy9R1+C/SUlfUe/gvw1wiCpE+eoTISThtDNjXA/n+qtK3b7jn3J7a3/i9tW85fZV/0sXmimK&#10;6hhCJZjHW/snj6/2ZU+g+j75Wzl6zdFkLtcQQkhykQBjjET3CtFK9Skt7Uuir4qyRFYTnCH6pkjK&#10;lGnbsCAKnUU7RTB854jOF50rwj4eF31fdL/oC6I7RP8RfSxaJ2oKmH5ltugh0SIsaCIw2DjP+0zh&#10;XH8k+pkI+4YeE+Fevy6KNdNaKPpEZDeK5ATRv0WT1KfY0L8Pfpf+ovmisSKNWzRHdKHoe6I3ReeJ&#10;CElJ2rMxJoQQQgghUWiGMS4QwbhOFN0k+roIfEd0luhzoutFxSINjNXvRAPUp+iMFL0hsg4SUS3C&#10;eVr3212EZTDNsQJDeEgE420dmTFdBKP/WVEuFiQAtOSG7+u3onjmEBwv+kDUT31KSysVbRBdJbpH&#10;BNP8GxFM7IOiL4o2iiKB1vt3RdvVp+Dv+C/R6epTWppX9FzwX8X7Il/wX0JSDxpjQgghhJAOTDNb&#10;jGEol4tgwF4QwRD/XISW0ntFXxNpowVgjJ8VxRPyq1tZ0Tr8K9Eron+IPi06KEJL9eUiGLdxolhx&#10;iWA0bxehtTicmSIYQ2wHsxwLMOtowX5ShHP+iui4qFxkvQ/gGdHng/9GBK3PuCa0ZB8W/V30E9Fl&#10;Ihh7DUKscf1o9UVL7xSR3TVZwXdeEtWKUEFQKXpNpNknQuu/5m0R7gVC5YeI2FeJpBQ0xoQQQggh&#10;HZgmGmOE3NaILhAtFqF1eJUI/YjRivmUCMZptQityTCfaFF+WfRH0Z0itMheLBouaoyzRTcG/1XA&#10;sL0n6iMaLRomwvGw/1gNbEAEU7xAfQqSJ0J4sRUY3RdF/xThOtBqGys4F7TuIiz7iAgVCAgP18AY&#10;o1U3VnBsGFnc454iVEqgBfdmUZUIodZnitBiP1gUDdw/tDDD5GJfMNXaGOM3+bEIIdYaRAigdRm/&#10;ObRelKgWdUKSHhpjQgghhJAOTAL6GJ8hgimG0YPZhUlFq+Z+EcwxWj01aDFGX9t4DBWM7zdEt4lg&#10;MB8QvSpC6C9CrWEI0ZoM4xYNbINWULSQWikS/UH0oagbFliAwYW5xfduFcEUwuTaARMP075DBNMO&#10;EwvDjVZ0tCJbW8pxv74b/Dcqg0SXiNAqvEJkrQCASUZrdJkI9+JvIvTxxn1CizdarnEPw8G9w31E&#10;SDZatbE9QqkBWqlPiL4sQus/7v1fRWixHiMiJOWgMSaEEEII6cAkwBgDDCCFluM/i2Ci0IoJwwUw&#10;aBZCoGES0T/4h6JYW3btQIsxBt6KF5j0kuC/9Zgs+j/Rt0XYBiHKaJ1t6kiOCPWGcZ4lWiu6SITW&#10;aX0/NM+LGjPGe0QIX4ZZR6g4wqNRqQAwQjVaizHQGIyqNWz6F6JYBuHCwFoId8e1IqzaI0LLuKZQ&#10;9C0R7g9C1tGaDINOSEpCY0wIIYQQ0oFJkDEGQ0WnRHqU4xmi8L7E6BeMEZmt/WPjBeY61pbWxkD4&#10;MAaugmlFH14rWAcDj8Gp0Aobj5FHCzpMZTRw3HiuAxUPGBlag3sI0w3jjAHENGiJxr1vDBhpGHP0&#10;R9ZMFWEALyto2UdrPJ4LHL85FRqEtGtojAkhhBBCOjDNMMaYcgkhzpiKCK2JGGEZrcMwhlYDBZOJ&#10;VkmE56LlON5Q6nBgjNFnuTlMF2FqJ1zv70UYOAwtvehXi3Bpvwj9bDF4FkKTMU9wc4EZvVSE/tXo&#10;D41j41jRQEszQpph0jGidzjYL0LBNQjlbmzKKoS2Y/RutGgD9HtGCDzOB+HeGAEcA3Hht8X5Ivwc&#10;faV/LcI2WL5EFGlOZUI6JDTGhBBCCCEdmAS2GEcD8++iDyvCcpsDBppKxLRB6JsLtTYY9ApTKmHg&#10;rXiOj5G/GxuoDOHWGK0bfYHDw7atNHU0aVR2LBVhpHGEYH9KhAqEWPp2E9LuoTEmhBBCCOnAtKIx&#10;JoSQdguNMSGEEEJIB4bGmBBCokNjTAghhBDSgaExJoSQ6NAYE0IIIYR0YGiMCWkS6FttnSaLdHBo&#10;jAkhhBBCOjAtYIwxuNRvRH8UYYTq5oK5czHgE0a1tjJWhHmTa9Sn5oO5gbsF/20ymPv436IV6lPH&#10;AAOEYc7jAyL8pl8V2QGjiPmlce0YXAxzOFvJE10hwnzW4eC+YXTsRIBprFaKHhDh2cDo6Zhb+3UR&#10;BgvTU4U153wBRgm3TpPVHDBYGqbDukWEuaQxp7QdmFMahgxTiGG+akyLZgWfMYUXp9VqAWiMY8Ph&#10;q55Z5q1OxEj+hBBCCCGtR4KNMUwHDAlGSNbAWMB0NnXuYkzNhLl0MSUR5tqdJsJ0T5gu6CURRmsG&#10;MBWYG/gyUVNa8jCnMK4f328qtaK3RJj2qKOBKbdwfyMZY4w6/qXgv2rkcMyTrOdzhvG9QRRpBOtr&#10;RecF/202mJMa00yFM0z0tujbIhjHeM8Xz+BvRWPUp7S0B0UTRXjWDotgaJeLmgPuQyRjXCJ6UbRF&#10;fUpLu1uE42owJ7VeR1oAGuPY8PirN04MnDBc3tpXaJAJIYQQ0m5IkDGGycBcuJgLGPP0ooX3PtGN&#10;oiOih0VyqLTVolhBCyL2gVa/0SIYbMyf+xcRDPJgEeZPnimCgcE2TZ2KCIYI8xo/qj41DbSUo1V1&#10;vQjXila9ZAYtwWjRnyRC6zvMYGNEM8bHRZ8P/quM5nMi/C4jRWjFbIxYjDEqVjDHMs4DhW0Y3UxR&#10;OJijGtNWoXLCek1olcX5Y25q0JTzxTN4iQiGGttcIMI83lYjC9N9uggGGsJzidZnnP8QcxmkTbiV&#10;WIyxrgjCXNgXinC8PSI8d6QFoTGODW2MtWiQCSGEENIuSJAxniJC6y1acTUwLWgpxty7CFeFoZ0g&#10;igUYCxT6c0TYN0yOUwTjjX0hxPUREQwQzAnCUGEcmgJMyw9FH4kwT29TmSeC+Rog+r0IlQFNbSVv&#10;ScpFMF+71ac60AKJc45ENGMMk43w3mIRTMNe0ZkiVIxEC+1tzBh3EX1L9KYIxlKD/0+J8JxEA88O&#10;QtwRfaBp6vniedks+pUI9yJSdwGE/iP0HNET+jnAc/0T0UD1qSGNGWOA5x6mHM/Y70RDRftFqNgg&#10;LQyNcWxYjfGUTdfRIBNCCCGkfZAgYwzD+1fRN0UwC9UihHWiZRetfItE6JM5QhQraJH7jugeEVqa&#10;YYLQGghgNO4VIXQVoaxXi3DsePavOUf0LxH6bx4Vob9ppJDfxoBhQX9ohHzDZMZ7va0FzBRaSPup&#10;T3XAmOL3t1ZuWIlmjMNZJ5ohQuj7zaLrRXgOQKUI/Xu18NvC6FmX6RZQtNIuE/lEMKWafNGzop+J&#10;EFpvBypn8Cw+I7KaajsaO18AA/xTEaIYeom+LIKBnSvC+Z8rCu8nDVOPVt67RKiQgKFujGjG2Ar6&#10;w8Poo0IIIdXXiXBOkUw3aSY0xrFhNcbz999lLDv6iDFj1200yIQQQghJbhJkjBE2jFBUmA+0lKGf&#10;Z0CEPrdfECEcGqYK5ipWYH4RcgozgvBstB4DGBeEr8LEWIFBQAsgBlmCGY8GTBNCvf8gwnE0C0Qf&#10;ik6IYh0QCqZqQ/BfBUwU7iVa85INGN9rRGjxvFWESgfcr30inHNzjTEqKmDwUCmAZwF9rmHGdR9f&#10;u6iBxlqM8Ryg0gJ9fPG7ow84fns8azC8kYwxWlHxTOL3bIxYz3eUyDo4G6IXYHY1OJ7d4G14LnGe&#10;iCJA+H9jxGqMEYb9KRGOhzBqVBIBmHMcC2HyJMHQGMdGuDFefun3lGwNsu+KMvNrhBBCCCFtS4KM&#10;MQzgU6JIozrDOKMPL8KiYwEtbTAiehAtGFQYY5gVALOEPr3WkNfuIiyHybO2LNoBEwMDjRY2u1GH&#10;0Vf5lyLcD5hthNhGapXEsWD+w0E/6/8T2fWDbSvQmohrwujM4STCGOMeYdAqhCcDVBjoEHv8Lrjn&#10;dn2vGzPGqGDBeSF82ArMXyRjvEaEwbHwHFnB84HIgiz1qennCzDyNZ7BxoDBRcsznmO0eP9NhLD/&#10;SMRijGHUEfatgUFGqzhAlEZ4lwaSIGiMYyOSMaZBJoQQQkhSkwBjDHOKQatgJBF6imlvDokwuBEG&#10;OoL5RIsW9m1tVW0MhM4iNNulPgWnoYGp2KU+BYGRkvJpqOUYZgAmFi2hdiHMOE8YDoTpogU7FsOK&#10;84UZxLlD/xF9UYQWTABTvEqEljqrCcP/WI7vwDQ3dVCwRAMziVbQh0SoZEDYN/rf6rB13E8YZOvo&#10;xqg4QGg5+lDjN0Dfbtzr8MoHtIaild0KBr9CyyoGoMIIzggrtrvvjRnj+SL0JUf/2r6mEL4Mw4l+&#10;xzCCOK4Os0eFClpnEc5uFULy3xMh7B4053wbA/cL9xV9izeJdKQD9oNrwT1GP2aEY+uKHdxLfAfh&#10;+HjG0IqPex5eaYPpoRAGbwW/C8L/ASIr8Lw11keaNBEa49iIZoy1lh09Wd8g+6t/S4NMCCGEkDYj&#10;QS3GmOd2R/DfBqCQDgOC1r3weVftgGHBPMgw1mjh0yB0Nry1Da1n4aP7wjzrFjQSGbTA6pbTlgS/&#10;IYxmtDDiaKB1tzVaQhN1vq0J7g0MRaLmgiY2NMcYTwzUztAGMJXUmDHWokEmhBBCSFKQIGNMCCEd&#10;mkQZ45m7bjfm7P1ySujMC75la4btZGeQnYFqjPRPCCGEENLy0BgTQkh0EmWMF53/TVtjSAVFg0wI&#10;IYSQNoHGmBBCokNj3LqyNcjr249BLnD6RhS7/A8Wucp3dZ2wGmMItAEzMoscgalFTv/ktKEL9XgH&#10;MVPk2DAl3+1D1xIb1nQqdAYuLnKUV3Qu80UbiDB+xvm7FJWtG9JLzr2Xq+KMtDRHs7r+9Bjr7SXn&#10;e3avUv/C1vw9ejnW9OjlWn8GfodCV2C4LEqyMSAcWUUu/2eKHd6dXcasxywKYczILHD5/1bgCLya&#10;7/JuNBcmK+l474pK/UOb+7wkCHTNsnYJjAjufZGz/Cx5Rm4sdgfukt/ks4XO8vXdXIEG04d2G7mi&#10;oNDhO7fYEzhiJzznPcYuxjgmmvQC13qn7PM8yHwOG9BtJI6VFPdNk17kqrhWzvnBYod/BT4HFxPS&#10;gtAYE0JIdGiM20bt1SD3cq4bUOKpMILyfTMtbXvzC5xibju71vSGWe01wT+5yOldVeQMXF7sDHy7&#10;2FVxUf741fXnpx+9JlsKwSf1eRS4Ao1OIVjo9C4SM/9+gbPi9rQ+SzpLAf27+J4UTHcVlvnKcE3m&#10;popip/9hrC92+98tcJSPNBdHpI9jSWcxiHcVuyseQuFf/j4p5/e8XMP7+hwLXRXvyecXZP1P5O/3&#10;ZP1zep0Y/B81xeBrCkf6+hS5/YdwvoUu/CbNNAGDZuQWuQK3FLl8/9HnCBV7/P8pdPv/WOj0v1bk&#10;CbwAiWH5i14vpsY61V+bE/qd3f5fyP3FDB/1kPWfV+udfj14ZToMv/l/ZEYs64bnJn98Rb9CT/mw&#10;wjLvEjnGFWJel+HeYX2Rw79bfuNtJW7/rYVu3x/1PSpyB55IG+u1mruYyHf5bgldSyN0dZQXFpf5&#10;Jha7AkeKHN5DQVNoTzfXioJiR2C5GM7S8Ocvv2y9R57TN4td3ldkXx/LvXqn0OV/Vt7JHxW5K97A&#10;ucj/v23wboZwZBU6/I9iG3m/MLCrMn/yjveX490n+/ufXMtdeJexHORP8I1Wz5e74hE55jdsdGWa&#10;Y3tozJECt/8GnIe8/85il+/KYrfvP4WOAGZb0aTL+3CuHOcJ3BdzWZvTQ54deSb+JO/YP2DozcWE&#10;tCwtYIwxENB9os+LElEri0QIIw2H1xQ5RBiNFyP9thWY7xZzNWP0bYwIfJUIoyVjlOdZoiZn4C0E&#10;fg+M3rzZVDwgszxfFD6Sswa/D655tym7DA0FJ9b4kXYJjXHbKmiQb61nkMd7r7CbFz0pKHT69qlC&#10;sdv3MlrdzMXCmk49xm/ADAExp4UFDt9MmFAxdI+JiXhdFfyd/n9IwblWzHEg2EJmPUYdUtitwvZy&#10;Pq+ZixqAc5XtdqOwXOiseFWO8wzOEYZJDMq/pXB6If5KofrHha51odYmFFbVNXr8XzcXRaVo9Jre&#10;YhL/Kobot+aiYOuwGCF1Xe7AbeZShZiMi8zl/5ZzimtQRLlHZ4lh+VyPMi/KC3X3W0wDWvNxLwvH&#10;2beeNQvHks5KFuS+qucByh/ri2Ug0nrkOwOr5Df6CN/Hefdy+seYq9J6jF8uz5P97x8L8ntXY7/y&#10;rKpBVHuWecfi3pW4AseK3RX3WA2r2s4VeB/GTAzL64WeegarHipqwu1/V/b7QZHLu7Fogn+8fPdp&#10;WfZfuR+YxSR0X2TZ0eB3/Ffgs5hNlKXipshVoZ5JeV7uhpGVezW8ZNw8eb58d4bOX8xmobv8Xjn/&#10;DXKcH6nlbu9PzF3YkYF7hPMO7sNfr+VcrukVucZ3YfZ7lq4fl1/m9xSUeb3yXgQrjpxezGZii3z3&#10;uLxH/8p3+CuQNpiLFaH75wp8UuBeP9tcjHd6vCz/oGdpxThzUSM4soLX7MUMK2k49+D1+m9VqwW5&#10;R8cL3AGU2WNCzvdaOaePcT/E1N9bV1kgaVsTKjPswH2U3+ff8jt+K230mq6oKJBjTpL07gJZdoeq&#10;XOq/OtrUrITETwsY452it0ST1Kfmg/CJD0V6WiYNaq5/J8LUQsgQkKBjiqS4MxwTFHQxLRCmxIkH&#10;ZNQocITPp4u5gjEnLaZySiZgTv8gwhRJsYDM/QwR5uHF9USaxxjX+3Dw37SDoidE1imscF/1NFeE&#10;tDtojJNDSWmQpUCMFjEpyLrynd65RS7fBimIq9YihKCKofwwWKAOqshd8W/VKurwY7q12JFCZ7Ez&#10;8CsUSsVYHuo6YVORFMBnwWQosy0FSCk0/wIFbTnucnxFF4SlkBlxDvreE1YXiVm4Wwr3D8m5v4hz&#10;FyM2VwrMP8f5i0m6qtAdeFTM5M1dxvn1vO9pxZ6gqYEZMRfFhBRsL1ffc1Z8T473S5h8fW/UcjFd&#10;qFAInkvF37Gs0OPDVIIxgxZNKbi/o/bnksK1pQVNI8e4EPcSxt/aIhcrcp8/I+f+VL3zdwX+ZlYu&#10;PC7nj8pkFUqL1lK9DT7HSTpa8vLRwun2P6OuKeyeKcmxC5xr9TSXUUH4LoyjmNwvq33i2XEE7oKx&#10;w/OEdYh0kOdB/V7yLG3qPnp1flFZxRAYLnM3ESlyrekt5/uS6N1Cp397r7LAgkKn71k59z/DfGMb&#10;Ma8XB48dWBP87P2i3Ld/4hzwORYKSgNOMUwvhu4D9iemXa7nTjnWAZgqbIcQevmtf42W/J6l3kFp&#10;aaOz5T16TI79716u8iaXWeW9+DqOGdy//9f4jXqdsW6APB9fwfJCl3eJuWkD8iesHo2KInXOMIGW&#10;0Gv5/kbZ139RCWHt0oBWeKQpRa4NvfE7dC9bNyS/NDCqh9t/mqxuELqN68Pzgv/FEG8JHst3uUov&#10;XP4fiMnELDAxVtSt6YTIEdnfWfoZ1H/rye1D+TyuhpBejsBASWd+r/ch5/Zn+Q1/jbRH/v9sgcN3&#10;CSozCl1+FUWC5xXXYH6dkMSQIGOMeYPxQmJ+YNQ6YZ7ZStEtIswF+2/R8yK0/MaDV4S5atECjblo&#10;7xJJmVS1yGI+25dFOsFBYoD5X1HrGG8tEl7e10WYO9lqbmMhkjHG+aFG/ElRMr24+K3eFcVqjDXj&#10;RahxjFS4wm+taxwxfy9+d/RXwj3BuvY0/REhDaAxTi4pg7yzvkEuXXdZvHlMQkCoZYEUwEWXScG/&#10;ptDt/TsKtGL8NqE/oLlZs1CGBGG5KOTK30J3xU+lgPhlKRyeQiGx2On9FVoNxXCbJiawDt/TxljO&#10;p8E0hrLtKjEmqlCL80XLnhm6+UShI3BY/qrWO7SuwlzkOyrcMP5iXtZJAfV8FEyDx6qT7PP9AseG&#10;meYhbJEC8FS0gsm9+pS5SExA4AfmsVAJqyhyeSfIef2l2F3xckHpeuSpMYHWVNnf23J+HxW6fGvN&#10;xbagAgFGDMfOdwW+og1bk+m/Og+GEv2j5VPIGEjBfqG+R+aiiOCZkfv4Pb09fiPZ53NyTV8VY1eO&#10;ioxgWGzgabUeZk+Mt/n1qMBAFXoCN4nhulfu781yzx/HfhCZoDYYNCO32Bm4XlfoBCsPKv4Eg4bP&#10;qDhBNEFxlHsVMsbOwK8KnRu2y7P7hOzrb7LsXbSGwuyL6XlefqeXxOypfuoqogCVPx5/KDwdzybO&#10;Ve20cdJl/zvVOTr8t8o5ni37+qI8A1sLJ5QPK3b6fyv38DfFpRXjZN1P9P7xvIf1ya0Dv6dzfak8&#10;q7Wy7/fld/xM0Gg7sooc3ikleNbc/quxH9lmM4yxXNP/qYqm8AoxeW9jM/yq/34tvgPTHG7asQ88&#10;swjZlufkB3LcCwtcvmvwjOD9let9xBqGLud0jpz7J3i3ZJufq4ovR7m72OF/Bs+luZktvUrLJ+nf&#10;Xe3bWfGePG8/LXAGrlHPi2NJZ7nezXjv5T78S/Z3f/fS1YimbBJyXV8NrxhRlUJi/AvKKmbJPZ0D&#10;k6zup9NfL7qEkISQIGOMltqXRJHmmcWL95Eo1ppMhGVcKsL3EKJ8vwj9WdAiiRdhpegGEfb5nKkH&#10;RQFRU0BtGcw7QoHjxc4YIwO/RyQFFRVunUxoY/xl0WWiy0Vodf+S6DsiZOZ2RDPGaNl/IPhvGgo7&#10;+B+/GcKh2mjgGUISB41x8mipmOKZlZ+tM8W+6tfLfDUTzdvdZqCfohTqfikFxb+jJddc3GxQAEdh&#10;GwVaKXwiLVbkO/y7YRqk8P9t1WdTEHOu+hNKIbZeizFad/G5cWZkFjp8d4iB+FD2PU+O9YBqmXL6&#10;KtFSDEOBAnUfsx+ibjEudnlRiR0zMGa4FilgfyTH+7Vti5NFcg4xRl7NyJTC+g4YOTH5d+OzuSKt&#10;YILPhX3JNT0W3j8WZkyMxY+tx5Rz+6Nse8i+RWpGphisb8l9/6vcq6dku1OqwsJdIYbR9yRabs19&#10;/LrYExzQKh5jHJFBG3LFUFbifskxP5JjXY9+uubaJiP7qVHn6/T/AZUt1vtmRcy3A8YWBg/3Ey2X&#10;GFQs2PraELQAimFSrecIt5XznoxKDm2M5Xf9UonLvxf9bxFtUejwbxHjdhLPtGz7lJjD8EjBEIiY&#10;QDSDvqe4/7I9jvU7fJa/z6CFHZEC2E+Bx/91GFzz62owNphoGF15Z5Z2Vq2v9cH55wf7kF8j9/sJ&#10;nBcqEfTzL/v9WfDY/vE9S1cNgnnDMTGIlrx/n8K+YcgtLef/xXuldh4BVADJeT2NZ1j2e7V+r610&#10;wz7d/q9Zr8ckHaHNOKcCd+C75rIQ8twPTJsIox8olWf3t/K7T5T7dr2c1zuyv1Nyzw/EGjkRPE//&#10;Z+U8P1HpksOHhqlmA2MMAy7n9oGc53uy/9+qChXVrcN/m6QX5xaYLfRyf+Nt4CEkOgkyxghje0d0&#10;hehroh+JXhWhtfT7IhiuP4lCfWJiAIkU+k/AdE8V3S7SAz+Ac0Q3iRBegpcDNZdxhW2YTBH9XXSH&#10;CH1MYMbj2Y82xmgdRjgxMvAviNB6iprvZmdaCUYbY5xj+HUuFqHVHP2xwolmjAFaaxBSh37fp4tQ&#10;uYFEHTV/qPFsEMpGSHuBxrjtlayGGJgF/Q+VKXL5v4K+rVLQ/H6h2/9/KMRpqcK10/dW2OA39qjW&#10;KoSWll/b6/Q1PVAQVAVmp//Pypip1t2KUL6Igq8c7/cwbCj8YlmsxhiFbDn3+wtdFTAmwXBdMfkY&#10;FdoSpn1KFaLlPHoMWo4+yGcHt2u81ckOmAttMIBcj2oxhokxF0lOtL1zrC3uaGGSe/WqnMt16nwt&#10;YERe2e8fVAi7mBU7s9EUitxeGGGEjFpY0wnPAX4nHcIL5NwW4fqg+AYQc2QVu8tXyP5eUWbd6bvd&#10;ut+m0EXMeqGjolx+y8fxPKKFDueVP3Zlf7k/u+R3vVuMzpM4HpZroyLn8DbuIVox8V20asvzdi+e&#10;d3k2QhU2muLS9ePkO6GB1bC9PJu/kmP8Ga3NZkTAb3B8+X0uLhnnLxZz/gV1TDGgkQx6OHh28cwX&#10;uALf6On2TQues/+d4P0KvF/o8m4TI32XufwlWfZtOc5VRc6KA3Kc32K5GHKUJ+0RMyn34w4VqWF5&#10;PuXaH5X7gvKUGiwL97LY49+uKpHcvrvxnqP/f4ln3WC55tfQ6m7tGx6OvNebVAULuj00MURY97GG&#10;0uQdNReHkHTKX+j2Pq8GopP7oLYNnu8O/I9KMHPTBmCEbPT5l+f+73Ltv5Y0bj/ujbk6IQSNsf8D&#10;9TyJSVdh2+ib7vDPQ8UJzlPWq98SlYDm1whJHAkyxjA+aB21hqJgEAGYW7RALhX9URRh2gdbkPDD&#10;7C4TwXgiU4eRQ4aCQa4QVm3N3NDHGH0oDohi7SuEgsPfRNb+UWg5fUo0UH2KTqRQanCJCOcUGjQh&#10;CYgWSo1+xBcG/61HLMZYM0eE1mgk7KgwwHeRGSBcPdkqCgiJCRrjtpMyxFV1htjtq3ldlBSGWLWE&#10;uQLXqUKxmIWScStDfXCBFD6D/Wnd/o+aWtithxQWYS6wTymYYjDEen0KxQDstpo/XVCOZozRiirG&#10;+Jjs+0dSQDfDq31SQFXhr98I9itNS89H30K37yrV4ma2NMrx4jbGYaTLvn4ox/kEYdbmsgQgJtXt&#10;P4pzlIL8H3ULGyoZcJ3KIJStXwzzqTaPEzFTh7Fvq1TLJUJpXYHPmZsp0D83tI1N6yRAa7Ds83kt&#10;VdEi2+PcZX+HixzlU+2m74mdGZliBE/gWUQFDn5H1YIIc1vvvNZ0KizzLUaorHUwJW3w5J6qwdnM&#10;xRGBycJ+8x3rdStp8Hd2B/4CU2wuS0N0BYytMlvB9+ixOFrC0+Wcgn150cLo9t+srsXtrzLXB5H3&#10;AdeNEOse49cNxijqeJblvr6NVn88E+aWESlwVyjzWOL2qzId7qGY8dCgXWh9LXEGfib3+Oti4k7I&#10;u397gcs3J9/tr5D/0cr/EkaVNzevA++0y4vRpF+xa30vdnurzQHkFGjhxv4K3L6HJP2pN4p4oct3&#10;k7oXbv/vzUUh5JzOkfXfND/K76necWXs8Q4HPwc+j24bhU7fN/VzKM/Jy7KdCm2Xa3gMBr7Ys35c&#10;Cwx+hUHOVJ/vYo//qWJXxY8xgJl8vgPPP7pFILJAzvVadY0Y+IuQRJMgY4yW0fdFGDgAo1Mis4ZR&#10;Rc0aWg4x+iBaZZ2iWEAmtUeEGjwdKgKjjZEA0QoZKQFDQo3+yNGmjYDBhoFGK/ZZWBAGji1l37Rn&#10;RRjFubFay8aMMYw97mkyDTPfmDFGpQPOd5f6VJ9YjTHCadDHHKCPG2rTMVCavk/NLUAR0ibQGLe+&#10;ktoQSz4CsyOF4A9RCI3UNzU0Sq7Lj7yrWSCUVQqlb6Ew26NhGKUtltDqs81FUSko889GKx5arpSR&#10;UiMJe98NH8G5zpB4VX/mJjNoQ26JJ/AzKYB/hIKvubRZwIDINat+pGKY7sPI12qFFOZhAAscG0bq&#10;FjMUxIscAeT7cTIjs8c4NeBRVHAfcSx1vAjGWCEGztqSrskvXTdKTMnVaLUUk/Cxui534O9y7gjp&#10;rpHnokqudzkMDkLvldz+8TCAxU6vlMMit76KCVIDV8l5hcwqzgGmSC13Bn4kWXdOPMYYx5Vn6D/y&#10;7FyjKo/K1g1R4bdoMRZTh5B8c1M1/ZBchxqVHCp2+e6BeTVXRwSmXa77KTnP9zC1D5ap++Ty3y/H&#10;/Yfodbm2s81KnYygQfXdLse/vMAZENPuXw9F6ist9/lcuaf/0+cVOj81PZP/s3LsK8S8rcQYA+ZX&#10;6qGmhHL7fhi8psD72lCHo8K1nf4X0JqM+2ZVocu7V86hXkUCjot9wgSbixQ9ZBu59rfVc2GtYJL3&#10;S97R+2RfN1qfAxUCLb+R/Jsuz5WqxCj2WKZ0Q2WBTWg1njG5Hhj5t1GRge+pQQbd/i8UuyuOyvqN&#10;eBZRKYDnEP2U892+0bgeRCuYu2lAwQh5PtSgexh5v+73x6jr+B6+ryo1XIHP4ZjqmRk3zzrIKyHN&#10;J0HGGGHIj4t0rSuMK2rNh4nQxxYmGftudBAMC3jQEX6tM34Yb8xJZ+2v+7QI/Y11bRn6OJ0UIYw3&#10;UgYAQ4yRD18RIRS7McOL80dNIM4bQqg4aiBVAivSRDLG2A4DjuG8k6mPrTbGD4msNY347dDvGNdh&#10;l8hrY4xQeTuQeKIl35rBIJIArcQoOCBaAKNh474Q0u6gMW492RliV/nxRM100EwcWVLY3gdzKgXU&#10;21A4l4L5EikQXqglBbuvohVOlj8nf+uFUttJCpL/ypcCtnmABsgxTi92eX8ix/uzHDvqVHuFZRsc&#10;aLUSA3B9oRgZHEMKrQ0G3wKyfi9MsD4XOd8/otVGCr2HzcJ4vRZpNQq2239Vgcvv0y2aCNc2VzcN&#10;0xijpbXX+PWYBaFZFDr962F29TVpwdBg0DIpxH++yO0NoG9xkcO3Rxfue0foK9tUYE7Qimk9B/kN&#10;66apaiZoQRM9AuNkPYY6jgrJ9b0oz+mnYBbNr9QRDI1/TF87ZDt1FaIczOiDnhP84/EMyncaNcYY&#10;CAxGEKMIayOGOXrl3VCjhOPdQUiuPEe/lvvzB5h7DKyE7Qoc3p36t8O5iXl7Up41NY+2mKtQmSXf&#10;5VspZu/VEmc5IhJtgTEtKvN/Vt8fOe5/ZJ+Pyzt0YVHp+oVq4CzVglt/mqRYkeMvkmf2Dtn/b+R6&#10;VWWFVer9x4BYDv8zYooxPdRXIdn2uLqvah8w5/W/Fy7Z/pWwKb4yCt1eDKiFuZM/0duhgqDE7bsj&#10;/LeR8/uUpAXolliPXuPKp6o0BfMhO/1vyfPyHX1e8QDjKt8/KtfyrNzfenN6Q4gGwH2XYx1oLBKg&#10;YOzqEXKu7+BeyrX8Qb6DftkQQv4fx3Miz82zer+SbnJUapJ4EmSMEeePvsTrTSGUFqGz2iAjzBpT&#10;LqkavSighfkNEcKZrQYNUwBhdGMN9o1wagwcpUEtK0aqhlEPBwNiYYCoxsywHQgVwfXoa0MtnD4v&#10;1P4hLMUqDBZ2WIQRIhMdZpIIcB/QWoyMDpUJuIeohDgmsqv5xvboLx1+neGJLAyvnaHGFE2fFun+&#10;4IS0S2iMW17JbYgbR/WFcwfWYLRguxa/JpKej0K8GFEU8s1lMSMF0Quk8Ij+m/Va6JoLwsXFsKiW&#10;sCJ3xZ9gMM1VTSVdDMajMEqY8sZc1iyU6XX7K2IrOG/PCqplEDN0rMipWuB/oEdfThaCLayBH+SX&#10;VaBRwRa01KElL2RIwqYVsoL7rga9sl+fjv6s5v8RgdGS5/YzaF0OGqOKX4qZ/WaR01vVdCM0IxOV&#10;SjDaMF76WiAxY/+T42BE9t8UefzftxnUKlbSCz1eh6QB18k9ekJVxDjVdGffl2Metq2gIPVABEa0&#10;+ySmeVuJ239bosYKIKQeCTLGhBDSoUmUMU4lzd9/l60BDle4IfZ4a99wBU60C0NMEgVaFmMbbIm0&#10;EeP8XcJH9CaEkA4FjTEhhESnOcZ43Lz9XZxrrxyTCnL5jh+O1RjTEBNCCCEkaaAxJoSQ6DTHGKcS&#10;Hn/1xmjGOGiIP0dDTAghhJDkgcaYEEKiQ2McG40ZYxpiQgghhCQtLWCMMfIzRjDGYEz4v6VAPxeM&#10;mNlZfUoOMGgIRtTEyI4YPRHXn0wjUjcHjBSO64Ks81VbwciOmP850vpIYDqv7aImjQwZBQwoFmmw&#10;jqaeL0lBaIxjw84YwxDPSgFDjOlo7ObELXB5vcWuwDcKnf7t7WLAmEEb6p1joTMwA6Pfyvn/LH/8&#10;6n7m4sQxGiMkBwfzKnT7fipL6pcdMNVSOxloB4OHFbv9RzGyslzLn4pdvoijjSeKIqd/shzr073K&#10;yhdwQCJCCGkGLWCMMfL0n0UYuTjqBPAxgEnN/yY6V32qQ49ejdGqkYnC3NiOkhgj+0RbRbbz0TUC&#10;jrlJhPl6raMuo2LgR6InRO15njUY1s+ItLnE4Cj4LTB10zIsMMHck88E/1XTNmHqJ+vvgVEGjwT/&#10;VfuyVhhg1GtMjaXny8Nv2ZxRTnF+GG0bz+E/RZg2Kpx4zpcQGuMYsRrjued8JSUMMSh0VUwPjnDr&#10;/2+BY91Mc7EC0x4VYy5Sp+/FLmPWl3QvqxiCkX6bO9VIvtvXXwzrK2rEYGf5+qZOO1OfGZmFLv9z&#10;5rVIOorPgePqs8v3416Y27Sp9J+YV+j2Pyr34a0Sj/9OqNgZ+BGmtIHkWv6GKX1EL6tl7oqfQmIy&#10;/47jF7n9pzCXs7m3egTngPWvKHT4ysUkPqKm5hEzjwqJHuNWnyb7+738/zam2MGUU2ou41LfHJhY&#10;bI+5dbE9DKa5y9gYujCnV1lgQZErcD/MMOYZLnL5v1bk9q7pbY6wjVGaYVqbNuL2jMwS8/cokGsJ&#10;H7EX14N16v64Ar/Jt5mWJ15a5rkihJB2QIKNMcwg5u3F3L4wg/i8UHSJCNMcxTsdAgzSW6IaESbf&#10;f1SE/WNfME4viTDlEMD8uTA6MKJNMeQo6OL6p6tPsQPj+A9RpAJOQNTUof/bmgEi3H+n+lQfmFnc&#10;L11IwpRdWAYwpyV+G21uMQ0ETKZuBUAFws9F+C1xjEqRnpMa+/i9CFNjNRdMSxXJGMdzvoTQGMeI&#10;1RhbDbHTX4Op2zokRWXrhojxer3IqaZGqsV8oMokub1v9HIG1sEEY75WMRtP5w/1dS8avaE3TKYy&#10;M07vq+Zu4gZTRIl5+R32U+zyY27/xCBmT879ChixQpd3W9B0+f4jphEmVc0xq6ZWgrmPg2J34G51&#10;rs7At1Ursavia4VOf3WJ23+n/C/3zPeGWu8J/EXu1cfqfrq8z8u9PVks24nhXBipRbRnmXes+q47&#10;8N1C17rhMMGY5zS/NDAK5yr358MCp/8GmGB9PSVO/9I0x/YsmGFMa1XkKj9PdhVzBTvmw5Xj3BSc&#10;CmtGpuzjQTnnfxQ5/LtldbratzwP6nhivMXYPxCMKoiXGZkFTt/l6pkKzYPsyJJn6J5Cd+B5zCnd&#10;Y/y6wbL/8d1Hr84Prm86LfZcEUJIspMgY3y5CK26j4gwhy8mareaU8wf/LFohvoUGzBjmF93m0jX&#10;kB4S/VKEUC7UGsO0YT1aCL8ogglvCpinWG5F2gXqU+zgGv8julJ9al/AnMKQwiDeKMI8xstF4aHp&#10;+G3xu1rnXkR4Mq4bcxlq8Bt8Kfhv2kUizEONidzXiVCREYkNoq+IYDQuE4VP14H5sFGDj/mh8Ruv&#10;FgG0On1WhGPuwAIbGjPGTT1fkqLQGMeG1Rh3dEMM8seXu8WgfChG4t0e470TYGI6l/n6qDlRnf4/&#10;F070ldW1GPuf6uUonyoGpkoM1X4YGXM3TaLY4V2OFmoxmn8VA9bsClgxi5eY5uvP8vcJMVyPw6DK&#10;tT3ZY+xiVFSni+m7Va7lf4Uu3yOxhu3CtBV6yocVO9bPk2uu6OX0TxYTeV7QeFX8GOZYzO8flIEU&#10;cyxG9dcwkvhsJ2zTw+lF1FgItABjnZzb53s5146R8/+/IjGTYorvRfh38H6bpt7plbxEjKxT/Q5/&#10;k2M/35TWXMwtjfBydVxXwAuzj8oEMfa/kvuztcjhe7nIFbgOLdbFcr5ibl1F8vuj4sHcRaP0LPUO&#10;kt/2bNn3Tag8kGM9i/PV90ELc0mXuAO/VxUXTv+d3catQ5enJpPo54oQQtoNCTLG6Ov7G9EI0TCR&#10;W4RwnktFt4qqRQi9jbUQgERdZ7hokUSL3hLRyyLdMgsz+4KoRNScTAB9TNFCibDb20Xx9M9BKDHu&#10;mU99ah/AEKNCARUY1hZR/Db4jdCS21joNyo3/iRC+LE1AgC/0x0ihJU/KEJLwqdEkX4bHBvPCswp&#10;jC9C7x8QIcTZrsYeBvrvIt16jfOFMW5s3svGjHG850tSHBrj2IAx9vhqTnV0QwzEUB0XI/LtHmO9&#10;vYrKAguKXf63xCR/By15MBZiZI6KwfuRmMDXlHkSs1zg9N8mxmxd/tiV/c3dNImCEZu7wZBjvzBE&#10;zQpxtqHnhLXj0apqmv7yEpf/OjFJP5P//xMyZE7v97qNDETtftRtwsZhYlKvEmN6lxjGc4td3m1i&#10;5t6Q/b1X6AicKcdYKffrXTG8v5b918jy+8QAfiL3Dd14YiJkjF3+r6MiQu7xfcFz9D8l+/yd7O/j&#10;YqfvwwK3HxX19ZDzug3r5bg/h3ltNHR40IZc+d3fK1H3InCXmN8n5Td+QY7zT3XOzsD78veVYk/F&#10;kzD9eB7kfOTe+atLtImWZ0Ou9Y40x5LYx0gZvSZbTPcr+K17TghWqKClWu7R23I+P5dzuV6eraXd&#10;S/1D1fZNpKWfK0IISWoSaIxhUovVp4agJfddEYxzrHxV9LhongjmCSHSukYXIdpo4dM1xvj7vOgm&#10;USEWxAiMHVpDnxPBYME0vi4qF8XCbBHuGcKp2wuoXLgu+G9cIHN8WHSfCC0HjYHM/noRKi1uEa0R&#10;IYrg6yKwWIQIA5hzgBbb74pgls8S/UW0XxTOFBHWwZRsxoIoNGaMrUQ7X0JojEkDCkeu7CMm6Kag&#10;OfL9U8zJT5RRcQf+LsYMgwqmwfzASCGsGq2uBWLcVFivy7sfhlptEy8jlnUrdHlhhv6HFkkYSJhY&#10;MWdIP2MOBY6EmMNlKvTX6bs73+2bWK91dvSarnL+byvT6fJfiz69cg9uFLN3Tv7EitgG5hrn71Lg&#10;8H1evvOFQqdvc4mrYm2ByzcHxg4tpDDGcl1f6TV+PQazjKlLS/0W43UDlLl2+96FaZR9ybX4r5Lz&#10;PU+3RKM1VD6/VuSq+Dn6LeMaYaCxTgutzWj9Nw8hpniGmGLvSbVOrtlcCjJ6jN/QEy28Yl6dhQ7/&#10;liJnxQNyrKflfGoQPl3k8B+S/T8px8TvFTEkvCGOLPneDjwzxU6R2/epBn3Thy7MkXM9R67zdfVM&#10;iEnPd/hRdoqPFn6uCCEk6UmQMYbReVOEfplfE2FUSQyM9SsRzO1JEQwNDHSsIENEa/MPzf8B+i6j&#10;Vc/ONCHzRHgsDBdarKOBlmK0ciNc29pCCnOPvq9/EKGVOtqgE7hOXF8kMKBUs/v8JJAPRWjJjweE&#10;Lf9ahBDqaAwSoU84WCB6TYTfTQ+WZhdOj0qQWAYpQyHybhH285AoWm17LMa4KedLUhAaY2IHwlbF&#10;5M0sciPE2P/fIjEWhaaZEvM1t9BZ8Z4Yx6f1MtDrjHUD0MpoGqyTaKUzV0UF2xaJwQp+1/clSaJQ&#10;qZsuBlP1ZYVpxWBPsix+IwOD5fDdgf2Igf+dGORnC92+P+KzOh4GwXIHfi/G6Sei74pxvl4MaI2c&#10;x7Pq2G7fB7o1MxpitjbhO2LAvipmbFuh07++0F1xoZz/Z/X1iRF8Ki3Ge4N+3sH9+ZHui1H2Hysq&#10;83+2h9uPfCu9l2NND9V3trRiXC+Hd4ocq1yOfQnML64V963Q5d+b1n91Hr5vByo25Dv3y3e+rM0p&#10;KgZgSNX5uryvFLsrduSXrZ0ov/2vsEwM/4/N3yh2Bm3IledjFQZBK3ZVPI1r0X2H8ft3dq3pXVTq&#10;H4oW44Iy/2xsK+d/Qn6HbxaU+SoLxq5GI0RMFQqaFn2uCCGkvZAgY1wr+pkoUg3oUhH2PVd9ig0M&#10;gqVboBFeC3OjTSoS7PNFdbXYwe0RZhttgC+YLwz0hAFPGus7gxBbDKqF84YpRP9buwG2cG4w/eGh&#10;yQDnCxPfhME2Wgycp5TrVYuoHQiBt476if62qKAIB32kHgv+GwIVEuhvre8DIgXQQo3rR3gXQrgj&#10;HTcaGOV1Z/BfBcLeURmDVt5IRDPGLXm+pINBY0zCESMxHwbXbAk8T7cCFjt9fiwXs/eFkkkrI0VS&#10;iXkLbCj2VLxZ5A4gSiUqKuwYfZU9/o9wDHNxiO6l651iXv9PGUQMAuX0VhWMWBaTsYTBF5P7npzT&#10;b4rKKoZgkDD0oe3mChSkjZvXJd/l21OM0ZUd5VPF6P8taJzLkbenyeefBE2gf5faWQygRT1ouAJX&#10;Frn9hwo9gZvk2u6W835KG035G/N7hr7L5v7qVZyLIR4o+7kFZl7+3g/jHDKAjsBNsbfcNo46jtP3&#10;opz/n0XfV/t3Bu5rzv7x7Mh1/UJdlyfwZrHb/zh++yKnPDNO/1nyjN2ujiOGXlcMQDh+PGHaLflc&#10;EUJIuyIBxhgmFaNFI1Qa0xNhxESEJqOvKpYjY/tI9IlIZaJRQGL+bdHbImt/T7QoItxVA/P2vkhn&#10;xDA3B0QY5GsvFoSBUGCEEMMIYfTjWECGhv6vuB5cF4SRr8MH6cJ26K+KewDDdqEI0wXdLIqvprh1&#10;wL3D74LWY9zX74lwbWi5tWbi+C3Q9xrPhZ0Q/qxBqzJaXMPBoFkYmRvh5iewIE7WihA2D8OKyAQN&#10;Rv1E5QYqL2CAra3ZMMIYXRTfwXneI6oSWVvuW+p8SQeFxpiEg6lzxJy8WegKHMfnIrREOjG6sf+6&#10;It2iKAYQLckwkliPZQgbRlgsWovNVrhGwffEIJ0SfQQjaS6OSIGr4muy3Sd1RklNRXQlRm5GaK65&#10;WZBx/i5oISxwBZ7rNnb1CIRRq++4/Xfi+uQc35Pzfybf6Z0ry/6IlmK0Xsr+viGG/ltyHdvNYyA/&#10;jhncI3wP96DY7bunwOF/RrVQOwOvwnxhnRz3MUmKY5rNQszhzfhOiSeAARTrIfvEPMx/wz1UIdOe&#10;in3YtsBdrvoby/E/L+s/xm9Z5PDpAR7jptjhnyfHUoOIQWLEvxo+vVLciLHGoGFyfj+RT+nFLv+D&#10;cr6/C44cHfh8gTPwHlp3EUpt3jNE6cVEiz5XhBDSHklQizForK8UQqtQixuLSYRpRSHD2hocDzDA&#10;GNSJEEISBo0xsSJG1xcyCA4/KuJAerHbqwyaGL9Ql5UeZd5ZCEMucvleLB6z3oxymZFZ7PKqlla0&#10;ODfoNyoUOQJT5XvPF7t893QvW4exNWIHfYHFOGFeXTEvryi5/S+JCfqFGGHksahMTu+NwaZ0q6Z8&#10;R0zY3YWY19e1xnYuefnuWrQY9nJVnCGmLIDrkuP8T/7GMu5DPRD6q+6VMn5+NYilmOJNQbMsBjBY&#10;aRAeiWWDmmsZ3/lvYZlvmrkQrbg95HofEIP6D9F12A7L5XzPNn+j0EwW6M8Mk4h9lJT5o41Locgf&#10;X9FPzOEq+c5jqBiQY/xAfks55+1ZuMdyzz/GcdRvjAGt3IE7ChyB5fkTfKPRIm/uph4YHVuuoQyD&#10;gGnJPfk29oHpobAPGFK0fiO8ucAdrFCQYzUYrRrC4F+4D+buFa3wXBFCSPskgcaYEEI6LDTGxEqh&#10;M7BOjO4PYVzMRU0C5gz9a+XfdtN3E63gMMQwXsrUur2YeSI2QzR6Tbbctw1ipD4QU/V0vjPQoIsV&#10;+vLC0Glzh3mgzVWREXNf6JH7GMNUSHLsq4OmsRyRQ3GDwboKnP4r8Ls1OmozzsnlPYFWcJhk0Sei&#10;4KjVbv/jomq02JtbB8F3nL59qDTIdwW+Kgb4Ernf6/CcdZtQjkp/9vElhJCWgsaYEEKiQ2NMSDNR&#10;YduBJTGPxu1Y0rlgQvMqHgghhJCYoTEmhJDo0BgTQgghhHRgaIxJEoDpMXoG/yUkOaExJoQQQgjp&#10;wLSAMcbAIi+J/iQaiwXNBPMNf0FkHaEajBNhFMxEjRxcKIp5egMTTOtzUITzwOjN3xTdL8Ko1Jgf&#10;tz0MQoEBVm4QfSDC7x8+4Eo/Ee7/vaKzRRhp+3UR5pO2TtcAY4tRyNFXDqOTY3orK+j3dbnIbgA2&#10;jIaNuaPjvf+RwByOGIDlGlGk6Zqac74kBaExJoQQQgjpwCTYGMMI3ie6Wn0KgoEiYDqbahJvEp0U&#10;YaodjG49QZQtgoGDAd8oAl8WwaDClDbFzGDqIVw/BhGJh8Gi10Th8zhjyijMgwuT1h7YJ8L1W40x&#10;7jOmiLCbKxhTav1VpOeWvkKE3wBgKiVMcVWgPgVbhDHVFp4DgDmoMfczpmICF4tgvAHmosb8xN8R&#10;We9nU2hsHuN4zpcQGmNCCCGEkI5MgowxWtbQ6gijivl80Wr6Q/N/zI0HcyWHSlsjihWYoq+LYFDQ&#10;Ogyze6YIc+/OEGlDOluEUSExj22D6S5iBAOB/Ef0mPoUH5GMMbhF9I4ovLU7GcA9w0ifaNmGEbQz&#10;xrie/xNh+VAsMEElx9Oi99SnIDWizwf/VXNLPy+CscQomqFpSyxgH2itxT3H/NN4flABApNsHVUU&#10;I3Zi6i6tYhHA+etl4a3cmsaMcbznS1IcGmNCCCGEkA5MgowxwlZhiq0GBS2JMBoIhV4mQgshWntj&#10;AWYN8+HBmM0UvSByiF4WYfL+G0VPiP4lwnaYkB9hzU0BJuz7or+LFmBBnDRmjMtEuKd71Kfk4AzR&#10;70U7RLoVHxUOfxThXCOZTA3mXkTY8+9EqIzQoPICy1HJgBDlgyJUWkSb1xDPBFrrfynCtB1226JS&#10;5OeiR8z/Acz8gyKvKNL+GzPGTT1fkqLQGBNCCCGEdGASZIxhbmAs0fr3sAj9TxFKPEeElsZFondF&#10;8YQVnyNCeC1ME4z1KdEsEYBxQWsyDDGM7adFd4lgUuOlSoTWYhhwhFE/JIpnIKjGjDHMF+7pRepT&#10;24M+wbjWJepTfexajK3gnuP+w0DDjEZjpQhGE1Nt3CpC6znuMUDL/lHRqyLMI4kW2ztFqNx4SoTt&#10;w8O3YYi/JEL/ZjxXCIPWoc+RaMwYh9PY+RJCY0wIIYQQ0pFJkDFeKHpWhJbeISK07i4WwRBisKYj&#10;IgzuhD7CsQIjhjBZmG2EZmvTCePyU9F89akOmKpnRGgNRSt1NNCijb7QCBW2nhfO+yMRwmnDja4d&#10;jRljmPtYjVlrgD69kc6nMWOMvsYIi49loLMsEQa9GiNC6zT6WSM8GXpbhMoCPCdYr4EJtd4/PEPW&#10;9VZgqD8RoVIkGrEY41jOlxAaY0IIIYSQjkyCjDEMIFr6rKMUW4FxRkvlZPUpOtgPTApMC0CrMDRK&#10;fQqaZrQWWkNeMaIxPqOFOtroxjA9MNBokbYbqAvhtb8R4X78WIRQcZhDOyIZY5g7LEf/62RB96Xe&#10;pj7VJ5IxRoUDwtbtWvvRSo99anCPYEb1PspFOsQe9wmtvXgWwpkuQoh8Y6BPMUbHRh9jnAtGPb9E&#10;1BjRjHFTz5ekIDTGhBBCCCEdmAQYY5hR9NF8UjRRhDDX7SKMPHy7CK2BCJPFvjeIYgF9TTHIllt9&#10;CrYwohUX+9WgFVrKp2lT1ae6FmMYdGvfVw3OE62C6E+MVmw7QxzOThHOA+cOwVQibFu3ImIfaG1G&#10;mDeODeNeKoLZ+pwoGUc1xhRaaBVF6y+mYsJo37r/Nq4R/aytFQvox/uACKbUKlQYYAAuDVrpcd1W&#10;UMGBCgjcF5jTV0Sx3HcrCLtGCDcGc8O5avAbo+85fu8BIut+UYkCw47fAL8ZQvHRNxojpGta6nxJ&#10;B4XGmBBCCCGkA5OgFmMM3oQ5bu2AIcWIw78WxRLijPBpGBKYFquRQSvhWcF/QyCsWo9SrDlXdF3w&#10;XxIF3LuWNn74DVF5gBb09kB7O1/SStAYE0IIIYR0YBJkjAkhpENDY0wIIYQQ0oGhMSaEkOjQGBNC&#10;CCGEdGBojAkhJDo0xoQQQgghHRgaY0IIiQ6NMSGEEEJIB0aM8XQp5P1PF/goiqKoxkVjTAghhBDS&#10;wRBjnCMFvUtEP6QoiqIal5jib8nfkWYSSgghhBBCCCGEEEIIIYQQQgghhBBCCCGEkHZGWtr/A2aT&#10;8p/yLFNbAAAAAElFTkSuQmCCUEsBAi0AFAAGAAgAAAAhALGCZ7YKAQAAEwIAABMAAAAAAAAAAAAA&#10;AAAAAAAAAFtDb250ZW50X1R5cGVzXS54bWxQSwECLQAUAAYACAAAACEAOP0h/9YAAACUAQAACwAA&#10;AAAAAAAAAAAAAAA7AQAAX3JlbHMvLnJlbHNQSwECLQAUAAYACAAAACEAQJ/O9yAEAACdCQAADgAA&#10;AAAAAAAAAAAAAAA6AgAAZHJzL2Uyb0RvYy54bWxQSwECLQAUAAYACAAAACEAqiYOvrwAAAAhAQAA&#10;GQAAAAAAAAAAAAAAAACGBgAAZHJzL19yZWxzL2Uyb0RvYy54bWwucmVsc1BLAQItABQABgAIAAAA&#10;IQDu0HND4AAAAAkBAAAPAAAAAAAAAAAAAAAAAHkHAABkcnMvZG93bnJldi54bWxQSwECLQAKAAAA&#10;AAAAACEA+uI+8YVqAQCFagEAFAAAAAAAAAAAAAAAAACGCAAAZHJzL21lZGlhL2ltYWdlMS5wbmdQ&#10;SwUGAAAAAAYABgB8AQAAPXM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4" o:spid="_x0000_s1027" type="#_x0000_t75" style="position:absolute;width:46831;height:26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29SxAAAANoAAAAPAAAAZHJzL2Rvd25yZXYueG1sRI9PawIx&#10;FMTvQr9DeIVepGYtVsrWKCIIIl78A/b4SJ67y25eliSuq5/eFAo9DjPzG2a26G0jOvKhcqxgPMpA&#10;EGtnKi4UnI7r9y8QISIbbByTgjsFWMxfBjPMjbvxnrpDLESCcMhRQRljm0sZdEkWw8i1xMm7OG8x&#10;JukLaTzeEtw28iPLptJixWmhxJZWJen6cLUK6vG0eWw/7/t6Ey87f+70bvijlXp77ZffICL18T/8&#10;194YBRP4vZJugJw/AQAA//8DAFBLAQItABQABgAIAAAAIQDb4fbL7gAAAIUBAAATAAAAAAAAAAAA&#10;AAAAAAAAAABbQ29udGVudF9UeXBlc10ueG1sUEsBAi0AFAAGAAgAAAAhAFr0LFu/AAAAFQEAAAsA&#10;AAAAAAAAAAAAAAAAHwEAAF9yZWxzLy5yZWxzUEsBAi0AFAAGAAgAAAAhAPI3b1LEAAAA2gAAAA8A&#10;AAAAAAAAAAAAAAAABwIAAGRycy9kb3ducmV2LnhtbFBLBQYAAAAAAwADALcAAAD4AgAAAAA=&#10;">
                        <v:imagedata r:id="rId10" o:title=""/>
                        <v:path arrowok="t"/>
                      </v:shape>
                      <v:shapetype id="_x0000_t202" coordsize="21600,21600" o:spt="202" path="m,l,21600r21600,l21600,xe">
                        <v:stroke joinstyle="miter"/>
                        <v:path gradientshapeok="t" o:connecttype="rect"/>
                      </v:shapetype>
                      <v:shape id="文字方塊 5" o:spid="_x0000_s1028" type="#_x0000_t202" style="position:absolute;left:22098;top:21564;width:23622;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118E7DA9" w14:textId="77777777" w:rsidR="003D543D" w:rsidRPr="000C6B14" w:rsidRDefault="003D543D" w:rsidP="00FA6FB1">
                              <w:pPr>
                                <w:adjustRightInd w:val="0"/>
                                <w:snapToGrid w:val="0"/>
                                <w:spacing w:line="240" w:lineRule="auto"/>
                                <w:rPr>
                                  <w:rFonts w:ascii="Times New Roman" w:hAnsi="Times New Roman" w:cs="Times New Roman"/>
                                  <w:color w:val="44546A" w:themeColor="text2"/>
                                  <w:sz w:val="18"/>
                                </w:rPr>
                              </w:pPr>
                              <w:r w:rsidRPr="000C6B14">
                                <w:rPr>
                                  <w:rFonts w:ascii="Times New Roman" w:hAnsi="Times New Roman" w:cs="Times New Roman"/>
                                  <w:color w:val="44546A" w:themeColor="text2"/>
                                  <w:sz w:val="18"/>
                                  <w:lang w:bidi="en-US"/>
                                </w:rPr>
                                <w:t xml:space="preserve">Natural persons holding more than 25% of company A’s shares in the left column are the </w:t>
                              </w:r>
                              <w:r w:rsidRPr="000C6B14">
                                <w:rPr>
                                  <w:rFonts w:ascii="Times New Roman" w:hAnsi="Times New Roman" w:cs="Times New Roman"/>
                                  <w:color w:val="44546A" w:themeColor="text2"/>
                                  <w:sz w:val="18"/>
                                  <w:u w:val="single"/>
                                  <w:lang w:bidi="en-US"/>
                                </w:rPr>
                                <w:t>beneficial</w:t>
                              </w:r>
                              <w:r w:rsidRPr="000C6B14">
                                <w:rPr>
                                  <w:rFonts w:ascii="Times New Roman" w:hAnsi="Times New Roman" w:cs="Times New Roman"/>
                                  <w:color w:val="44546A" w:themeColor="text2"/>
                                  <w:sz w:val="18"/>
                                  <w:lang w:bidi="en-US"/>
                                </w:rPr>
                                <w:t xml:space="preserve"> owners</w:t>
                              </w:r>
                            </w:p>
                          </w:txbxContent>
                        </v:textbox>
                      </v:shape>
                    </v:group>
                  </w:pict>
                </mc:Fallback>
              </mc:AlternateContent>
            </w:r>
          </w:p>
          <w:p w14:paraId="3425B170" w14:textId="77777777" w:rsidR="00FA6FB1" w:rsidRPr="00474153" w:rsidRDefault="00FA6FB1">
            <w:pPr>
              <w:jc w:val="both"/>
              <w:rPr>
                <w:rFonts w:ascii="Times New Roman" w:eastAsia="標楷體" w:hAnsi="Times New Roman" w:cs="Times New Roman"/>
                <w:sz w:val="28"/>
                <w:szCs w:val="28"/>
              </w:rPr>
            </w:pPr>
          </w:p>
          <w:p w14:paraId="2514F4D9" w14:textId="77777777" w:rsidR="00FA6FB1" w:rsidRPr="00474153" w:rsidRDefault="00FA6FB1">
            <w:pPr>
              <w:jc w:val="both"/>
              <w:rPr>
                <w:rFonts w:ascii="Times New Roman" w:eastAsia="標楷體" w:hAnsi="Times New Roman" w:cs="Times New Roman"/>
                <w:noProof/>
                <w:sz w:val="28"/>
                <w:szCs w:val="28"/>
              </w:rPr>
            </w:pPr>
          </w:p>
          <w:p w14:paraId="3001F689" w14:textId="77777777" w:rsidR="00FA6FB1" w:rsidRPr="00474153" w:rsidRDefault="00FA6FB1">
            <w:pPr>
              <w:jc w:val="both"/>
              <w:rPr>
                <w:rFonts w:ascii="Times New Roman" w:eastAsia="標楷體" w:hAnsi="Times New Roman" w:cs="Times New Roman"/>
                <w:noProof/>
                <w:sz w:val="28"/>
                <w:szCs w:val="28"/>
              </w:rPr>
            </w:pPr>
          </w:p>
          <w:p w14:paraId="565BA71B" w14:textId="77777777" w:rsidR="00FA6FB1" w:rsidRPr="00474153" w:rsidRDefault="00FA6FB1">
            <w:pPr>
              <w:jc w:val="both"/>
              <w:rPr>
                <w:rFonts w:ascii="Times New Roman" w:eastAsia="標楷體" w:hAnsi="Times New Roman" w:cs="Times New Roman"/>
                <w:noProof/>
                <w:sz w:val="28"/>
                <w:szCs w:val="28"/>
              </w:rPr>
            </w:pPr>
          </w:p>
          <w:p w14:paraId="15269FA3" w14:textId="77777777" w:rsidR="00FA6FB1" w:rsidRPr="00474153" w:rsidRDefault="00FA6FB1">
            <w:pPr>
              <w:jc w:val="both"/>
              <w:rPr>
                <w:rFonts w:ascii="Times New Roman" w:eastAsia="標楷體" w:hAnsi="Times New Roman" w:cs="Times New Roman"/>
                <w:noProof/>
                <w:sz w:val="28"/>
                <w:szCs w:val="28"/>
              </w:rPr>
            </w:pPr>
          </w:p>
          <w:p w14:paraId="05C6E81D" w14:textId="77777777" w:rsidR="00FA6FB1" w:rsidRPr="00474153" w:rsidRDefault="00FA6FB1">
            <w:pPr>
              <w:jc w:val="both"/>
              <w:rPr>
                <w:rFonts w:ascii="Times New Roman" w:eastAsia="標楷體" w:hAnsi="Times New Roman" w:cs="Times New Roman"/>
                <w:noProof/>
                <w:sz w:val="28"/>
                <w:szCs w:val="28"/>
              </w:rPr>
            </w:pPr>
          </w:p>
          <w:p w14:paraId="3AC36758" w14:textId="77777777" w:rsidR="00FA6FB1" w:rsidRPr="00474153" w:rsidRDefault="00FA6FB1">
            <w:pPr>
              <w:jc w:val="both"/>
              <w:rPr>
                <w:rFonts w:ascii="Times New Roman" w:eastAsia="標楷體" w:hAnsi="Times New Roman" w:cs="Times New Roman"/>
                <w:noProof/>
                <w:sz w:val="28"/>
                <w:szCs w:val="28"/>
              </w:rPr>
            </w:pPr>
          </w:p>
          <w:p w14:paraId="75606765" w14:textId="77777777" w:rsidR="00FA6FB1" w:rsidRPr="00474153" w:rsidRDefault="00FA6FB1">
            <w:pPr>
              <w:jc w:val="both"/>
              <w:rPr>
                <w:rFonts w:ascii="Times New Roman" w:eastAsia="標楷體" w:hAnsi="Times New Roman" w:cs="Times New Roman"/>
                <w:noProof/>
                <w:sz w:val="28"/>
                <w:szCs w:val="28"/>
              </w:rPr>
            </w:pPr>
          </w:p>
          <w:p w14:paraId="0E6B7206" w14:textId="77777777" w:rsidR="00FA6FB1" w:rsidRPr="00474153" w:rsidRDefault="00FA6FB1">
            <w:pPr>
              <w:jc w:val="both"/>
              <w:rPr>
                <w:rFonts w:ascii="Times New Roman" w:eastAsia="標楷體" w:hAnsi="Times New Roman" w:cs="Times New Roman"/>
                <w:noProof/>
                <w:sz w:val="28"/>
                <w:szCs w:val="28"/>
              </w:rPr>
            </w:pPr>
          </w:p>
          <w:p w14:paraId="4B020C0C" w14:textId="77777777" w:rsidR="00FA6FB1" w:rsidRPr="00474153" w:rsidRDefault="00FA6FB1">
            <w:pPr>
              <w:jc w:val="both"/>
              <w:rPr>
                <w:rFonts w:ascii="Times New Roman" w:eastAsia="標楷體" w:hAnsi="Times New Roman" w:cs="Times New Roman"/>
                <w:noProof/>
                <w:sz w:val="28"/>
                <w:szCs w:val="28"/>
              </w:rPr>
            </w:pPr>
          </w:p>
          <w:p w14:paraId="28950738" w14:textId="1001A11F" w:rsidR="00FA6FB1" w:rsidRPr="00474153" w:rsidRDefault="00FA6FB1">
            <w:pPr>
              <w:jc w:val="both"/>
              <w:rPr>
                <w:rFonts w:ascii="Times New Roman" w:eastAsia="標楷體" w:hAnsi="Times New Roman" w:cs="Times New Roman"/>
                <w:noProof/>
                <w:sz w:val="28"/>
                <w:szCs w:val="28"/>
              </w:rPr>
            </w:pPr>
          </w:p>
          <w:p w14:paraId="298ECC4C" w14:textId="664055A0" w:rsidR="00041EC8" w:rsidRPr="00474153" w:rsidRDefault="00041EC8">
            <w:pPr>
              <w:jc w:val="both"/>
              <w:rPr>
                <w:rFonts w:ascii="Times New Roman" w:eastAsia="標楷體" w:hAnsi="Times New Roman" w:cs="Times New Roman"/>
                <w:noProof/>
                <w:sz w:val="28"/>
                <w:szCs w:val="28"/>
              </w:rPr>
            </w:pPr>
          </w:p>
          <w:p w14:paraId="7842C788" w14:textId="77777777" w:rsidR="007C11E6" w:rsidRPr="00474153" w:rsidRDefault="00FA6FB1">
            <w:pPr>
              <w:pStyle w:val="a4"/>
              <w:snapToGrid w:val="0"/>
              <w:spacing w:line="400" w:lineRule="exact"/>
              <w:ind w:leftChars="0" w:left="560" w:hangingChars="200" w:hanging="560"/>
              <w:jc w:val="both"/>
              <w:rPr>
                <w:rFonts w:ascii="Times New Roman" w:eastAsia="標楷體" w:hAnsi="Times New Roman"/>
                <w:sz w:val="28"/>
                <w:szCs w:val="28"/>
              </w:rPr>
            </w:pPr>
            <w:r w:rsidRPr="00474153">
              <w:rPr>
                <w:rFonts w:ascii="Times New Roman" w:hAnsi="Times New Roman"/>
                <w:sz w:val="28"/>
                <w:lang w:bidi="en-US"/>
              </w:rPr>
              <w:t>Note: Non-natural person shareholders (such as Company X shown in the above Figure) with less than 25% shareholding interest/capital contribution may be considered as non-beneficial owners if they exercise no significant influence over the corporate customer (such as Company A shown in the above Figure), provided that the bank has undertaken reasonable efforts to establish its findings.</w:t>
            </w:r>
          </w:p>
        </w:tc>
        <w:tc>
          <w:tcPr>
            <w:tcW w:w="8335" w:type="dxa"/>
            <w:shd w:val="clear" w:color="auto" w:fill="auto"/>
          </w:tcPr>
          <w:p w14:paraId="34EDA498" w14:textId="77777777" w:rsidR="007C11E6" w:rsidRPr="00474153" w:rsidRDefault="007C11E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12</w:t>
            </w:r>
            <w:r w:rsidRPr="00474153">
              <w:rPr>
                <w:rFonts w:ascii="Times New Roman" w:hAnsi="Times New Roman"/>
                <w:sz w:val="28"/>
                <w:lang w:bidi="en-US"/>
              </w:rPr>
              <w:t>: In the first step of identifying the beneficial owner, how to calculate the directly or indirectly held more than 25% shareholdings/capital contribution?</w:t>
            </w:r>
          </w:p>
          <w:p w14:paraId="1BD01C2F" w14:textId="77777777" w:rsidR="007C11E6" w:rsidRPr="00474153" w:rsidRDefault="007C11E6">
            <w:pPr>
              <w:pStyle w:val="a4"/>
              <w:snapToGrid w:val="0"/>
              <w:spacing w:line="400" w:lineRule="exact"/>
              <w:ind w:leftChars="0" w:left="566" w:hangingChars="202" w:hanging="566"/>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12</w:t>
            </w:r>
            <w:r w:rsidRPr="00474153">
              <w:rPr>
                <w:rFonts w:ascii="Times New Roman" w:hAnsi="Times New Roman"/>
                <w:sz w:val="28"/>
                <w:lang w:bidi="en-US"/>
              </w:rPr>
              <w:t>:</w:t>
            </w:r>
          </w:p>
          <w:p w14:paraId="19D5FD0F" w14:textId="77777777" w:rsidR="007C11E6" w:rsidRPr="00474153" w:rsidRDefault="007C11E6">
            <w:pPr>
              <w:pStyle w:val="a4"/>
              <w:snapToGrid w:val="0"/>
              <w:spacing w:line="400" w:lineRule="exact"/>
              <w:ind w:leftChars="0" w:left="0"/>
              <w:jc w:val="both"/>
              <w:rPr>
                <w:rFonts w:ascii="Times New Roman" w:eastAsia="標楷體" w:hAnsi="Times New Roman"/>
                <w:bCs/>
                <w:caps/>
                <w:sz w:val="28"/>
                <w:szCs w:val="28"/>
              </w:rPr>
            </w:pPr>
            <w:r w:rsidRPr="00474153">
              <w:rPr>
                <w:rFonts w:ascii="Times New Roman" w:hAnsi="Times New Roman"/>
                <w:sz w:val="28"/>
                <w:lang w:bidi="en-US"/>
              </w:rPr>
              <w:t>The 25% shareholding/capital contribution shall take into account all direct and indirect shareholdings or capital. Refer to the following figure for the detailed calculation method.</w:t>
            </w:r>
          </w:p>
          <w:p w14:paraId="4159F4F4" w14:textId="77777777" w:rsidR="007C11E6" w:rsidRPr="00474153" w:rsidRDefault="007C11E6">
            <w:pPr>
              <w:jc w:val="both"/>
              <w:rPr>
                <w:rFonts w:ascii="Times New Roman" w:eastAsia="標楷體" w:hAnsi="Times New Roman" w:cs="Times New Roman"/>
                <w:sz w:val="28"/>
                <w:szCs w:val="28"/>
              </w:rPr>
            </w:pPr>
            <w:r w:rsidRPr="00474153">
              <w:rPr>
                <w:rFonts w:ascii="Times New Roman" w:hAnsi="Times New Roman" w:cs="Times New Roman"/>
                <w:noProof/>
                <w:sz w:val="28"/>
              </w:rPr>
              <mc:AlternateContent>
                <mc:Choice Requires="wpg">
                  <w:drawing>
                    <wp:anchor distT="0" distB="0" distL="114300" distR="114300" simplePos="0" relativeHeight="251656192" behindDoc="0" locked="0" layoutInCell="1" allowOverlap="1" wp14:anchorId="13FDBA60" wp14:editId="66F4E42B">
                      <wp:simplePos x="0" y="0"/>
                      <wp:positionH relativeFrom="column">
                        <wp:posOffset>340995</wp:posOffset>
                      </wp:positionH>
                      <wp:positionV relativeFrom="paragraph">
                        <wp:posOffset>209550</wp:posOffset>
                      </wp:positionV>
                      <wp:extent cx="4683125" cy="2679065"/>
                      <wp:effectExtent l="0" t="0" r="3175" b="6985"/>
                      <wp:wrapNone/>
                      <wp:docPr id="2" name="群組 2"/>
                      <wp:cNvGraphicFramePr/>
                      <a:graphic xmlns:a="http://schemas.openxmlformats.org/drawingml/2006/main">
                        <a:graphicData uri="http://schemas.microsoft.com/office/word/2010/wordprocessingGroup">
                          <wpg:wgp>
                            <wpg:cNvGrpSpPr/>
                            <wpg:grpSpPr>
                              <a:xfrm>
                                <a:off x="0" y="0"/>
                                <a:ext cx="4683125" cy="2679065"/>
                                <a:chOff x="0" y="0"/>
                                <a:chExt cx="4683125" cy="2679065"/>
                              </a:xfrm>
                            </wpg:grpSpPr>
                            <pic:pic xmlns:pic="http://schemas.openxmlformats.org/drawingml/2006/picture">
                              <pic:nvPicPr>
                                <pic:cNvPr id="3" name="圖片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3125" cy="2679065"/>
                                </a:xfrm>
                                <a:prstGeom prst="rect">
                                  <a:avLst/>
                                </a:prstGeom>
                                <a:noFill/>
                                <a:ln>
                                  <a:noFill/>
                                </a:ln>
                              </pic:spPr>
                            </pic:pic>
                            <wps:wsp>
                              <wps:cNvPr id="6" name="文字方塊 6"/>
                              <wps:cNvSpPr txBox="1">
                                <a:spLocks noChangeArrowheads="1"/>
                              </wps:cNvSpPr>
                              <wps:spPr bwMode="auto">
                                <a:xfrm>
                                  <a:off x="2209799" y="2156460"/>
                                  <a:ext cx="2473325"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7B70E" w14:textId="77777777" w:rsidR="003D543D" w:rsidRPr="000C6B14" w:rsidRDefault="003D543D" w:rsidP="008D1FD5">
                                    <w:pPr>
                                      <w:adjustRightInd w:val="0"/>
                                      <w:snapToGrid w:val="0"/>
                                      <w:spacing w:line="240" w:lineRule="auto"/>
                                      <w:rPr>
                                        <w:rFonts w:ascii="Times New Roman" w:hAnsi="Times New Roman" w:cs="Times New Roman"/>
                                        <w:color w:val="44546A" w:themeColor="text2"/>
                                        <w:sz w:val="18"/>
                                      </w:rPr>
                                    </w:pPr>
                                    <w:r w:rsidRPr="000C6B14">
                                      <w:rPr>
                                        <w:rFonts w:ascii="Times New Roman" w:hAnsi="Times New Roman" w:cs="Times New Roman"/>
                                        <w:color w:val="44546A" w:themeColor="text2"/>
                                        <w:sz w:val="18"/>
                                        <w:lang w:bidi="en-US"/>
                                      </w:rPr>
                                      <w:t xml:space="preserve">Natural persons holding more than 25% of company A’s shares in the left column are the </w:t>
                                    </w:r>
                                    <w:r w:rsidRPr="000C6B14">
                                      <w:rPr>
                                        <w:rFonts w:ascii="Times New Roman" w:hAnsi="Times New Roman" w:cs="Times New Roman"/>
                                        <w:color w:val="44546A" w:themeColor="text2"/>
                                        <w:sz w:val="18"/>
                                        <w:u w:val="single"/>
                                        <w:lang w:bidi="en-US"/>
                                      </w:rPr>
                                      <w:t>beneficial</w:t>
                                    </w:r>
                                    <w:r w:rsidRPr="000C6B14">
                                      <w:rPr>
                                        <w:rFonts w:ascii="Times New Roman" w:hAnsi="Times New Roman" w:cs="Times New Roman"/>
                                        <w:color w:val="44546A" w:themeColor="text2"/>
                                        <w:sz w:val="18"/>
                                        <w:lang w:bidi="en-US"/>
                                      </w:rPr>
                                      <w:t xml:space="preserve"> owners</w:t>
                                    </w:r>
                                  </w:p>
                                </w:txbxContent>
                              </wps:txbx>
                              <wps:bodyPr rot="0" vert="horz" wrap="square" lIns="91440" tIns="45720" rIns="91440" bIns="45720" anchor="t" anchorCtr="0" upright="1">
                                <a:noAutofit/>
                              </wps:bodyPr>
                            </wps:wsp>
                          </wpg:wgp>
                        </a:graphicData>
                      </a:graphic>
                    </wp:anchor>
                  </w:drawing>
                </mc:Choice>
                <mc:Fallback>
                  <w:pict>
                    <v:group w14:anchorId="13FDBA60" id="群組 2" o:spid="_x0000_s1029" style="position:absolute;left:0;text-align:left;margin-left:26.85pt;margin-top:16.5pt;width:368.75pt;height:210.95pt;z-index:251656192" coordsize="46831,26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Ei3jIQQAAKQJAAAOAAAAZHJzL2Uyb0RvYy54bWysVs1u4zYQvhfoOxC8&#10;O/qJ/CMjziKx42CBtA267QPQEmURK5EsScdOi94KLNoHSC+9FOi1xx566dtk8xqdoSTbSQxskNaA&#10;Jf4MhzMfv2/EkzebuiI33Fih5IRGRyElXGYqF3I5od9+M++NKLGOyZxVSvIJveWWvjn9/LOTtR7z&#10;WJWqyrkh4ETa8VpPaOmcHgeBzUpeM3ukNJcwWShTMwddswxyw9bgva6COAwHwVqZXBuVcWthdNZM&#10;0lPvvyh45r4qCssdqSYUYnP+afxzgc/g9ISNl4bpUmRtGOwVUdRMSNh062rGHCMrI565qkVmlFWF&#10;O8pUHaiiEBn3OUA2Ufgkm0ujVtrnshyvl3oLE0D7BKdXu82+vLk2ROQTGlMiWQ1H9PDPHw9//URi&#10;xGatl2MwuTT6nb427cCy6WG6m8LU+IZEyMajertFlW8cyWAwGYyOo7hPSQZz8WCYhoN+g3tWwuE8&#10;W5eVF59YGXQbBxjfNhwtsjH8W5ig9QymT9MJVrmV4bR1Ur/IR83M+5XuwYlq5sRCVMLdenbC2WFQ&#10;8uZaZNem6ewQP+4Qv//t7uHnD+QYUUF7NGkWMEzoSmXvLZFqWjK55GdWA6tBa2gdPDb33Ue7LSqh&#10;56Kq8JCw3eYFCnjCoAPQNOycqWxVc+kauRleQYpK2lJoS4kZ83rBgT3mbR7BCYPUHVBIGyGd1wOQ&#10;4Mo63B3p4BXxQzw6C8M0Pu9N++G0l4TDi95Zmgx7w/BimITJKJpG0x9xdZSMV5ZD+qyaadGGDqPP&#10;gj9I/7ZQNMLyAiU3zJcBBM4H1L19iDCECGGs1mRfA8hgB21nuMtKbBYAZDsOxtsJj/oOaDwSC2oh&#10;i/UXKgc02MopD8Z/UcuW80AJY90lVzXBBkAPkXr37AbyaHLrTDBqqZAAPpdKPhoAnzji48eI2yYk&#10;gMqHgmw7vkDvZaBjOT5Uyt6VTHOIEt3uFDDoFPDx7sP9n79+vPv7/vdfyACZ3Rpi2SFuc66gkEQ+&#10;S6uf6MEYtS45yyHCRhN7Sxs/LzqNOA7TYZpSglUq6g+SQft16OpYnAyPj7s6lvTTKPRl7PUHY1Ul&#10;8k6c1iwX08o0FJ37nxc48Gzf7PAJejI/01kaxUl4Hqe9+WA07CXzpN9Lh+GoF0bpeToIkzSZzTud&#10;lSLPubwSkv8PMltPaNoHpLx89qN/lGTof4eSrIWDS0El6gkdbY3YGA/5QuaeyY6JqmkHWCZ24XeS&#10;7t6NtJESDcOx5TaLjf/meb7gyELlt0A0o0BPcE2ACw00SmW+p2QNl4MJtd+tGH4WqrcSeJZGSYK3&#10;Cd9J+sMYOmZ/ZrE/w2QGribUUdI0p665gaygTi5L2KlhtlRnUCkK4TW8iwoywQ6I0bf8VcBn115b&#10;8K6x3/dWu8vV6b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A6f3ZC4QAAAAkB&#10;AAAPAAAAZHJzL2Rvd25yZXYueG1sTI9BS8NAFITvgv9heYI3u0nTWBvzUkpRT0WwFcTbNvuahGbf&#10;huw2Sf+960mPwwwz3+TrybRioN41lhHiWQSCuLS64Qrh8/D68ATCecVatZYJ4UoO1sXtTa4ybUf+&#10;oGHvKxFK2GUKofa+y6R0ZU1GuZntiIN3sr1RPsi+krpXYyg3rZxH0aM0quGwUKuOtjWV5/3FILyN&#10;atwk8cuwO5+21+9D+v61iwnx/m7aPIPwNPm/MPziB3QoAtPRXlg70SKkyTIkEZIkXAr+chXPQRwR&#10;FuliBbLI5f8HxQ8AAAD//wMAUEsDBAoAAAAAAAAAIQD64j7xhWoBAIVqAQAUAAAAZHJzL21lZGlh&#10;L2ltYWdlMS5wbmeJUE5HDQoaCgAAAA1JSERSAAADxgAAAikIBgAAARfzEbQAAAABc1JHQgCuzhzp&#10;AAAABGdBTUEAALGPC/xhBQAAAAlwSFlzAAAh1QAAIdUBBJy0nQAA/6VJREFUeF7snQd8HMXZ/09d&#10;cle5k3vHxt2SrrgAwgb3RrFs64rciyQbA8Y0g02zJdn0lDcJSUjPG9IhCS2EJG/qn5BOKCGhmCSk&#10;95AQYP/Pb3bmtLeaq7rT3UnP93O/z8zOzpbbKc/M7O6so7/gDXRe6g10fb+38gVP+eQus4Y32DEv&#10;Harz3zxB7jL/OWfHjcZVbzsrbVoQOmnIXUegi9sbyd1GoIvXGwWOBLTHyTt0f663kruOQBevN/IG&#10;u/4rdy1ALaKL11vJ3ec39j/lWzbGOHzXYqN6ZIUxdESpCCsfVKz+cDhe6NBc4V68Z4ZxxZ2LwuGQ&#10;uedIrOtXNk81thyYbVyw40yxvOOauvA6qLS8KOw/TPsuKikwiksLjSUXTAyH22sMeyJjm9lel/AP&#10;ry4zLj21QPgpaoQLDR5aIpbxP6+4I/5/yTusfwhCIq8OTjVab3JHhCutCU0TLuIUFBYIf+tNnog4&#10;ctcRWNfPXVgrXP+lc42z106g/ZgXfMyUoeE4EG0W9k+eWWk07ZsZXo6XyFD7cW/Yf/ltCyPWVdVW&#10;iP1DKpERrlwlWs5/rH8oXZK7jkAXrzdKJJEPdvmM4OVzDfe5o8VyU6uZSdpv6U78eJK7N3nD4fgb&#10;JBcdbzkcY+BSrAbyXyQCcxDdH+ut5K4j0MXrjRJJ5HRI7t7kTYfjSUguhqGwP1HMJrmYc+j+WG8l&#10;dx2BLl5vlJVE1kEl+AhpCukSGZRz6P5YIrrsVKSNs0ruOgJdvHjadaQ+6nFyJpHzAd0fg2hV2B8i&#10;u2Zdd/DkAmPOApcxburwiHAlc8+R6OI1XzIn7B81cUjEugnTRhh7jjZEnIdVySQyrRZuxeBiY0a9&#10;05g4fUTEftHSV367xM7znTUHLtX+uVRlv/gKXdzeyBs8sV/uOowuHrRo5TijZtQgY9+NbmNT2ywR&#10;ppYv3DWjR3yr5K7zH2+w609InFhqajmkDbfKG+h8Xu6yB77QrWctCHUay/Zd22t5Ah3hBq6V6esP&#10;D9WdV6qSux04vLJ/UJ/86b44Tl/9l7yjLy7My+3lv32hzTFSLmaM0+0Vr0kvY6Wvcv/ptrIu6c0Y&#10;nMhR6KtEptL8A+nNGJzIUeizktwHCcCJzDAMwzAM059YEOoy0FrtCyUyPNfQdGy8bttM6Mdtrrjn&#10;szx0VLttJpSR4UtvoHOs7mBKP9tdIXTPqlKx3FZfjJMwZtYU9IirhPW6cCVx4BjotlF6cHO50dFY&#10;Is5JhdEmwm2nc1Nh1vNT66Ppyh3+qOeEi67bxqqHNpULd74r+jWBaHfacLvMI6cR3BLTHUipuMAh&#10;VCBP8KU28+L+YHv3RbbrgY1l2nAleeio6LZR+mqgPHxOWEbCTh5eYFBfk9Qdb+fc7gT/ya4KY8mE&#10;wvCyXV/ZN61XiQxRVOHOrC4wagdFJmarLBgqTjzhuGklXiJ/5qIyoQunFYllJO7+BvMCVpWbJ71r&#10;frFRXGj6aZfGNQtLwplBJ/PI0dFto4REVueE5V+2VhhPbDNLUizRbrXhUDoS2a5KeW0g2o1RmIlE&#10;fsPh+M5bDscZcjEMha0j+eVi3ERWQjVtXW6aXiyqxG+Eui9wWVF6/oRuG6X7bbUERY9YfmZ3/AS3&#10;K52JjMTUhUODitOcyG86HP+G5GIYSuBrSEfkYsKJnE7JQ0dFt00mlYmS3BvJQ6ePVBOZNhXupOGJ&#10;5U6rzCNHR7dNNH14XWTJXjbRtL20m4jwWMpEItOmop3wIpktZVoSlXnkNJJsIivbTJuG3Q+sTe+f&#10;0G0TTRQ9fC5qOdmLmq5EfmJbheEeabawaVPjqgUlVAhit7h1Mo+cRhqaO726A+n06Qu7Lx5tGnah&#10;78dobduF48ZCt000zaNuC23SIxwNNHtYND28b0bUc0q2JNMmEe4FZ5iFIhmJA6cb3YEyJXRz5GGj&#10;0td20Bfo+qk8tBbdNpnSYzFqFSbHWHndI2+X3vxl9dFHDUguZp1cO58V1z3yg+XHHqqSi0x/BIks&#10;vUx/hRN5ANBvElnZQZZe8jIxDMMwDMMwTB+D8eoNNz6WVXn9XZ+Qp8NkAt1F72st2nYHd3syie6i&#10;x1PDxiMRy+uOPhSxrDSocpQ23C5O5Ayju+g61V1wOOynzYS7pP39wi0uHxxeV1I+RAhxVLx44kTO&#10;MLqLrpMukaGSiiERYXDXXPuAsf6GL3Mi5wq6i94b0S6NyrEzjWWXf5wTOVfQXfRENa0xEPYPdU6I&#10;WLfq6s8a5cNdEWHRlDeJTGdp5LredDhukKcbRnfR+1roxsnTYXoLJfLj0hvG5z+xWXfh+1LyVPKG&#10;EpLL9Aruka6T9G3T6ziHpO55jre4m01v5tAlMpMaw6Vr51vSfZr0K5KbpJ5FukO6GYUTeQDAiZw+&#10;9kkXTJRuMtgTApOiLyctIf0YARYelm5CJJLI3mDXL6SXSYAVpCdMbwQRXz+RDJIuuJeE5WLSswiQ&#10;NJC+aXrDXCDdhEgkkdHSjTUBKhNJuXRzBpXISMhYQovXG+jghM5HVCLbuzDR5PF3/VxsGAWnJ/Rb&#10;6XW43KEfSq+j1tdiDJ4bDPcyqhtCG6TXUeUNzKxq2LJMLExdOUy4khqP/xG4tN9/YR/ww61xhz4L&#10;P+IPaWiuEX7C6Q3Og6vi1ribkzJfvaFCujNJIdMbwWXStfKidAFsb0ZINpHPbXtfjz5sjTfwaI07&#10;cBB+l8d/yOUNvC783tBbcE0ay12+lrnw1XgCjzrdoYucnsBXsVztDvwILnB5W34tvQKnJyimQXR5&#10;g7+JSGRv8Mvwg2pP8BtwXZ6QMHtY7/IEPg1/Tb0fJk3g9Ib+QfvpkItpR1VzfyCpHFwgXfCCdK2o&#10;UpDR6X+TSWRdAtNFe4d5UVt2ySCHY8JWYZacM5uGUCJ9XoRZmbtssPRpqfWE3i29SPQnKBF/UeMJ&#10;XmdNIJXgAH5nQ+gsp8c/XwZFQNt9Sbie0DfJ/xcROJBItOGlS2AmEms3R41oJQpy4VMk+wtbd5KU&#10;GUiZRBNZerWQvdTug0rNZarEOecH51XXbXFXzQmMrapvWU5VebhE1XhDP5Fex+DJF7oq65oXwl/p&#10;3jRbBOYJqm98vnQBEk/YriT5l3RBKn3uCBJJ5AQImx5RdXuDwq46vf4nKANcLVYQZLvVCB/5W/4h&#10;PA1rB42o988RfqreqUp9rqYh+BksDprZlPGZ6gcEaUrk6MxsKoVDjbHfiGWJs8G/WHoF1MIeK715&#10;i7X1rCt9z0hXxz9Jj5JQhZ2LAGInCbUCbmz0iown8gDkYpJuxCse7yOh//l+ktVOeaSbMpzI6Sdm&#10;1yEbcCL3ElzAfJA8XYZh+i3eQNf30yG5uyxyrNAb7JiXDskd9g90H6HsjeRuI1gQ6HpBFzdV6QZu&#10;EKaL2xtNaDyWc3cUk8bn7/yN7s/1RnLXERw4tVwbtzeSuw6ji9NbxRsFzAusiVxVWxH+cxOmDzeK&#10;SwrDy0q0iXAPdPjCy9uumm9ccccia5weqHXQyuapQmr5QIdXuJffan4Mu/ngbGPw0JLw+tLyImOm&#10;2xleVpK7DmNdN3rSUGPOglrhLywqMC6/reeHtodWlob9F+0xP6+791hDxH/p14ls1eBhJcaU2ZXG&#10;7uvrjUPyAtCmwt15bb3wXyYTSK7rgVoHzV1YKwT/lXcvjgiHS9HDYdbls9aMt4dHYF03aUZl2L+s&#10;abKxbNOU8LL1mHbRbowhw7sTv98lcrokdx2BLl5vJXcdxrpultcVEfdgl1nzJKuIRH6LGqjUF33s&#10;DYcj4uPNFAPfaw/f0M41+msip0v2RMZ3cPA6yrtkkIDC51HYx+VizsGJHFsRiUwl+EdIZErURTIo&#10;DIVNkd6cI5FERsMKqhnVbbPj2LUe6OJZtf3qOtGYo6ja9TqZe+5GF6e36vc2mVaHL/qOa+rCYWp9&#10;YaE+QbBfO7p4SrRauJeeXCBca6t+0szuBpRd5p670cWB1m2dbuw6YjYQHQXmsYqKC8S+EXb4rugZ&#10;tl8kMtD9ud5I7jaCRS0ntHFT1ZV39zzOkl3XR4m7WHSNakYNighfcuFEETajoabHOiVvsOu7cvf5&#10;D3JsOiR3pwXrl+27tteKdRzrufRWlMB4d23ggGn8X2qveFkuZgwcR3ozBo7xqz0Rb64wfcnptgrf&#10;S21l2+Qi0x/5WchRLb0MwzBM/+TltoqB1RoeiHAiDwA4kQcAnMgDgBxL5GOF6mOQmdbLJHnQmCwO&#10;dWi3z4QwZCgPq8Ub7LpJt10m9N7d52RmhE13MKUvbio3OhpLjJ/t7v5sLm0i3G1zuj8Zi8/eK//j&#10;/tjfLn6ybXTMP+ILdb1dt50SzgX6kPw49pW+YnFO1nOwasuMIuPsceaHs6PJPLIeXXy7KssdxoOb&#10;zPOhTXqsT0bxMl1K6A6khG8QFxc4hLC8r67YmDDM/MI3PpGr4m08szvBaZfiT6tlncwj68HtRt02&#10;Sup8CuU5vUTnAvcHUb7fTLs0ZkfJAErmkfXo4tv16YvKjHFDI49Bmwp3rqvAaK0vjlgXSytbjsY8&#10;n5TQHUgJiYyviqsviz+/r8L4Tkvsj09fs7Ak/AejyTyynniJrM5nxxzzwv2/reXGjrmmf0SZedzQ&#10;7GKjuND00y6FG0vmkfXo4ttF0cLHUa5uXSJKOJHfdDg++Ibm1VTaGjc+z5KLAt2BlO7fGFn1UvSI&#10;5Wd2J/61cavMI+uJl8hKN5xVErHcNL3YmF5VEPEF9LKixC6uPLQWXfxEdNt5pRHLN58TuRxNSSUy&#10;xcQzXvTr5i2H4wzSNXJRoDtQpiUPrSXRRE6n5KG16OJnUn1eXcfTkvFmg4Z202NdLJlH1pNMIs+s&#10;6W5Q0abCrZRVdjIyj6xHFz+efr7XrE1oc+F+dH3sxqhVWU/k4XQBaZPwMvzKXicjceAoJJvIJTbb&#10;C/eeVcmdkzhwFHTxo4miG5+1XI9715SGzytRZT2RfaMLtSdttYPxdJpkHlmPt7nr17rtdEIiq1Y+&#10;bRp2of8LJX5OOG40dPGjiaJHLP9wR7nxyQvLeoTH0qJQR8zzSQn0y3QHy5R8wU5qFsRGt12m9FL7&#10;4JgX9azQCe12mVJ94CRmIs4Ncu0j0PxR6gzAiRwdnMvKIw9/XS7mL5zIAwBO5AEAJ/IAABeVFV3y&#10;MjHphC/sAIATeQDAiTwA4EQeAHAi5wG6j4z0pdYde4QzSSbxBU/5dBe+ryVPh8kEnMgDgGQTuWJE&#10;rTZcqbCo2CgpHyKkWx9N8nSYTNCbRC4oKolYVzp4hHDXXPuAsSBwImJdPMnTYTJBb0vyqJnnCHeC&#10;e104rHLsTCG1nIjk6TCZINlELikfHLG8mkqtddmq0kFmyU5E8nRymzcdjjfoTI1clzzdMJ6Wzlm6&#10;i97XkqeT2+guYL6waPud2gvfV8rIO0iZwJLIj0lXofsD6osu+L6B+oahjzTwvhCaT1gS+RXp2nFK&#10;F6jpi6xfbEMi32Z6mZzEkshMfyVKIm8lqQ85f066scBHofHsL76E3ooACb7ViCoepX01AogtpCJS&#10;iVhiMo8lkfEp91dNr5jEPGJyc+KX0rXze5L6BhFmuL/O9Ia5l/QVEj61+wUESMRXTtPJuqN8w0CL&#10;JZGLSWNMb26yINTViBZtNKHFu+7ow5zQdiyJnPMgke3dGJ2iJbSzbstKuFXu4MX4SHb46+ee4Moa&#10;T+g78LsagstUuJXqhtANtXODLrkY/ti2yxM45fSE8LV3h9MbeMm+rcsTeqNybnA2rfuny9PyfXJf&#10;r/GGUPs5atyhX46o808QES3QsVD7pQ86I3VSmHnmz6ZX2FBVnaqvoP9CunbKSKiuM/7x6EQTGfL5&#10;O3p+HGX6+qFwXO7gc9XzA55wIrtD/6px+1fBX+sN/M/QMy9QvQhLYob80htBjTf4u0pPaKHLHXoO&#10;GYUyzAsi3B04iv24fMHX1XGr5m3sUVM6vc374Q6rC04VAcTweRtGSG96sCTyr0jKj8/A4/NvqMIB&#10;wqN9IPsS0m4SLmojAjJFoonsCd3ilpuEqfYEbnB5Q++k0rPZ6fb/DGFI5GpPMAC/S7qOCVvDn72r&#10;9QbfQ4n1Trko4kuvwzl/k2iHIIwS93IRCCY0lru8QfEif2WDfzGV8ifhr6kPjEJcp8c/v6ouNMPp&#10;CWwdPsdfSe7tWA+qG5rPhOuc2TREBKQLSyLnPUjghuZbvHKRUVgSeSPpr6ZXVNcKFRYLVNWwSxWk&#10;4wiw8JR0M0598IT1vCOgavRGV92WuXIxolRa/S5vy17YZfipFL9A9vMfItwT/BXpOfgBVd+ihOYF&#10;lkRGdfya6dV2b6qkq2OddCeSukiqms8ZaryBbw2p2zyjqiEobKAVpzd0F6py0x/8twgkqCr/hsoA&#10;I+r9c0Qg4XQH7rJkjALsW/pzE0siD2zIlkqfo7rej0GdHlQ2hMZLb34RJZG3k2abXsf/Svfb0rVz&#10;koSSez4JY9r2d2wflS6TLSyJ/GOSGvH6FOkDpjfcjYiWyAdJk0yvw0NSd6oU75Muky0siYyx5Gmm&#10;l+lXIJGpU/d4rkueLsMwTA7j29w545wdN2m/t5ht4eaPPM2EWRDoeqFx5w1GW+ca7T6zoc1X7Uj6&#10;vyD+/q6V2v1lW+fsuNHwBjp2yFNlso3X33mNLqFyScjM8nTjcu7OY9p95JK8gc775OnqadhTcsmt&#10;y7Tb5ppSqWiZDIDpX3UJhE9fl1UUCf+h2xeFw4eOKDUu2jXDWL9tujFoSHE4HHKNGRyxjC8vx/rm&#10;+2WnFob96hPf+By3CrNKnm5cdNsq4ZztYVfcYf63uQtrI8IPyfBMKF7mx6sbuu2UDt/Z85pecad5&#10;vrrrbb3O6RYX5BwhWkGuqq0I+33Lxgj3jLlVxsZ9M4W/7uxRRoWtILfe6IlYHlFTHq4MrGpqNfeB&#10;zKc+ob6RwlxjBxslpd3f6rdKnm5cdNtC1SMHhaXCDnT4jNIy8/wWrhgXDoc2t8+O+I4/7TpiPTR9&#10;fo2x9KJJ4eWikkLj7LUTRNzCwoKIuFb1piBPmlFptN7kEWq5cp4IUwUVlWzo0NyI+FBxSeS5qLSl&#10;Qwk3dGie8A8eWiKWd1Jl2nxwtkiPmlEVRu24IeFt7eKCnCNEK8hFRQVGNSU4VDHILLDbrpofXl8z&#10;siJszUZOiExo2m3Ecjpknm18dNvapaxWwzmjDM+SMcaVssAiA8Md4SwPxy0o7P4v1fSfd10f2WIY&#10;Xl1mHKTWxCi6BpDVWmLZGleptwVZ+duPe4V76PaFRuDgHOE/e814Y5bHFY5TWmZWjOu2TQuH0SEi&#10;0qihcZRYRkFW6/BfL9x1Zjg+CrWKbxUX5BwhWkHONcnTjYtu21xTbwpyrinqf3nL4ZiAez5vOBxP&#10;SPdSuSoqFO/T0v2MCGAShgty32tAFGQFrRURqCBrH0mkleG31agA/1rqTzKISRAuyH2vAVWQmb4h&#10;lYI82+ei/t9Q4d9zrCE8qn3ZrebIc9tNHjGIdNmpBWJd7fjBxqXkR18S4XRYo2KIObCSqMyzjY9u&#10;21iiTcL+OQtrjeWbp4i+Ms4bfenCogLhF/3IAocxb9FIY8K0EcYFO840vOePMcorIgf8ElEmCzJG&#10;/bdfPV+cc9vNHmN14IzwmMCBE15j13WRfXzEhUuHFa51TCARcUHOEbzBrvfoEiiWiksKjbLyImOG&#10;2ykywFmrx4dHm7Gs4qHwwnWN6f6A3aHbzBHWYZVl2hFWnS677byEM8u+E2u1+4gm2kRURnAxCq8K&#10;Jpat8c69YKIIU0IY/t/almnGpBkjIuLGk8/f9U/aR1TmN3edodsulmgz4aIgo6JV4SVUceJ/1Y7r&#10;HqxCgR48zKxI1XYo7IfvXBQeQEtUXJBziAXBk+8IHAlpEyrbWtRywnA0Hkv4haeG5pMtrR2580SX&#10;XYlm/AWBrmt33nixdh+5Ii7E/Rx8nVN6855ftZd+UHrznv6ULkwGua/JUfRye/nf1ad2ZXDecrqt&#10;7HuvtJdtf2lv0bKXWsvwXl5e8tLusikvtZX/6HR7xWtcmJmE6U+Z5ZX20mmnWwetkYt5DQqy9DJM&#10;fPpbrf/K/op+8S4rF2QmKfpbQX65reIl6c1ruCAzSYGCzOqdXm6veON0W/mf06mXWytye/ovhulv&#10;UCsAcwgzDJPPcEFmmH4AF2SG6QdwQY7Dgo23Vczxd1T2F03Yeiw8LXa6mBs8NVh3rHyVw3GsUP61&#10;XrNoR9dQ3THSrRdbBz2rC0+35N/KHxaEurSjg4mqusKhDYdOtw8yPryuNLxcWhg9Lp2KNry3Ssdz&#10;r+tartHuO1GNGxr7v71rZX5eo6krjw374O7F2n2mW6fbK7ThOt1/cZk2PBX5gp199mWWlMFrYbqT&#10;T0RfDZT3CGurL45YXjax0Di5pMSgat9YM7XQmDqiwNg6p0ibscuL9JmUTrPXGVj82RTB64y6fSYi&#10;3TW64aySiOXG8YXGdYuKjQL6j8snFRqjhjjENaod1PM/4zraw+gUhfvtlvKUr9NX9k1L6RqhAtDt&#10;LxXR7iJc6GVb4bWug84dV2iMKHdEaG9dccrXQaeVLUdTujZ9SiYL8gfWmFbmkgYzjA4n3N3zIgs7&#10;tGZKoXBfsiXc/6woMS6aVmQ8v6+iV4kj/myKZLIgf3CtaTl2ymtChxPuQXfPa9Q03bxGL7bpM/fj&#10;/vwuyEhrVGaqhbd4jPl/oW+GIq9jnasg7J9CxiEcXmtuQ6cWDuutMlKQ33I4XLTXgjcdjk+QP9b3&#10;vRB3jUXa71Nm2iIvpMSApYD/XlmwJw/vvvDQ8LLIi06nFfYXFXT7P0JN9GGlqSWQ+W9TI9MW2TOy&#10;0Hhim1k4P32hWbDt12io7X/TaYX9uCZl1JqBrHGSUbYL8pYZRcZcp/mfbz+v1KgoNv+LMgLQc3sr&#10;jJvPLjEGl8T/n3Rq2vBUlKmCXEZ7NeCSxkl3tVVUyP8o484j/41vOBw/JPcdYgc2elOQ80ny76ZE&#10;bwpyvigXLHKuKiMFmQrlH1GQqWB+lvz4gLIWKsS1cCne36W0z5JyQY4PF+TocEHOETJdkF+y9Ofo&#10;cEJqeezQAmNmTfr7NDrhv6ZKpgoy/vuH15XFvEajhxQY3lGZv0a5XpDv31hm+EYXhq+BanpjGXdG&#10;ii1dsHRrwBfk1ZPNCw+pMKsfwi0FJALCdSOy6RLtP2UyXZDhp8OEw61+KOIaZSjD5mJBpt33uBb2&#10;5ZoKFOQKMZZiX5cu5UVBBl/bN1n7B3or2rUYpMFIJJaRCZWwbB24OrO6IBwv3frkHjGBXMq4N3cu&#10;0u23t6qvLTR+usscjf8/OSprv0bIqCr+HGdhxq4RCqT5b5PD19z5V93+eiv8z1+2DjK+ESwX/ke3&#10;lPe4NnT4iPh75/cc6U+HUr02WcEXOPkmTnjHtvZ+I/wfb6Dj3/Iv9hpfsPOt/nSNtm7dL69R13fl&#10;X0wZ7Kc/XZsNLVeL/+Pxd62Vf5Gxsvrol3euPvqosfLIl86SQYwFvj6xwbWB5CKTTZAQCy77RIVc&#10;ZGzw9dGz6tqHf7riukd+IPxHHuFPIGUbrlFjw9cnOqogMzkAZ9TY8PWJDhfkHIIzamz4+kSHCzKT&#10;N3BBZph+ABdkhukHcEFmmH4AF2SG6QdwQWaYNKAeV82WllzyEW14X8nr73hQXgqGyT+mNR+rWX/D&#10;l40NNz424IUCLS8Lw+QXeKVTl6kHohZtu4MLMpOfZKIgz1t/ubHu6ENC5cNdYT8drkdca9j5l34k&#10;Yl086fbXG3FBZvKWTBTkSb4NhmfzDUKlg4aH/XS4iHhDXBMjliF7nFhKJm4i4oLM5C2ZKMgFhYVG&#10;YVGxEB0iwm+PO2VRU9g/2XdhxDol63aLt92mDU+HuCAzeUum+8gVI2q14dCgqjFh/9y1lxplQ6qS&#10;KpzJxE1EXJCZvIUHu7rFBTmN0JXki5km3nQ4HpfemCzeebc2Yw808e2nNBKjIOu+MDGE9CXTG+ZK&#10;6doZSfqC6RUcle4b0u13JFqQFQ1NneN9mzsmDjR5Qieq5SVg0oWmIOO7sAWk4WKpm2tImKx+u1gy&#10;OUa61fQiHwsGkR4g/Zlkfa9znnStTCCtIk0k3YuAfCbZgswwacNWkGGF1TxOv5duLH5IGmN6tfxH&#10;ukAdx/59qI+RcNxFpJcRkK9wQWayhsYiMynCBZnJGpqC/AtSEcn6HacW6W4i/dr0hlFNasV80k2m&#10;Ny5Pkr5tesNNbzTdv2V6BVdJ93bSI6ZXxMUH4+xxvyfdn5PKSWvEkslgEuKm7ev5dtJVkMVLBcEu&#10;pAPDJIamIKuCZQ2/mYSCg4KyBwGSz0oXhVcVMtAm3UTokK69Dz1Nuqogo++NATQMlDQgwIKKq0Ac&#10;FNw+JZ0FGaO6644+jMnvn5fBDBMdTUFmUsRakBeEuhrtt1tSFRdoJi4xCnKxdBWzSLCIm8VSN/b3&#10;SmHRx5veuNwhXaAs8knSU6T3iKU8IlMFWQkF2uPvQrchKk5P6OpaX4vh9Ab+WeUNzJTBAqc39A+X&#10;N/g61kMIq2zwL3Z5Qm9QfPHZmxp3C+5ECFyeYKDaG7rX5fZPdrlb/iqDBeV1ftxxoPihf4kASa0n&#10;dHvVvJYeA6BOd/ArOIY6Lqhy+8+nc/pPZX3zCjqHt5HCn/BFXDrX30j3zRpP4HMIr56+fqjah8sT&#10;+KLLG/gN/AoKO1XjDXyrusG/QSx7AwuE6w4+XFUf9NF/esUxdmNFTUPgp2I/DWvR0nPU1Afqnd6W&#10;l0jvqfGGIgZ6xbWZsLWc9tUpg3IPTUHG7acfkXD7SIFCjb4lRpfR91So5qtqjgOrPx66ggyw3ymm&#10;N3/IZEE+t+19hid0i1vuPipUGP4L11pgFGqdY+rKMut6V0PoXkfDnhL4nZ7gShGooLjSFwFl6tfh&#10;Ot2Bu0SApMYb7HDWt4i0c3q2ouIXcamCeZzivhfLChSsGk/Lo+QtGuFubqQC2327cmZTKRV+qiQa&#10;iys9W8LnhP+gzt3pDb7s8vrDhqRi3sZwBUIF9m9wR9RvnCOX/06F/EPw97w2TUXOhuDXUGEMp0pL&#10;BoahyupVuLRedQNzD/pHPRKcSQ17QUZfN1VZC7A7cMIjd8sweqIUZF3zDVbZPsikYwvpO6Y3Kb5G&#10;wug4joNmvOIJ6VrBqDqwx80q6RzsOrf9fUZD8y1eGZQcaDq6Q/YuUFSo2fm9qoYWdWciTGVd80K4&#10;VQ3BZdTc/IkIDNNo73qFIavZ4+k9ap4uF64n9HkRwKQXTUHGbadPkURzQrKY9H0SmlGXIsDCJdJN&#10;BTTTRR9FoprtaELeSVpKej8CiKGkiKaZRMXNOukqyPXBEz7pTQk0P53u0Hur6s3+oRVqHoomcQRz&#10;lw1Gc5PWoTINM9zjn0/7+ru9KUpN5Sco/FPVni3u4fM2T6RCeh/CEY+a5u9SfWTbdgVVnuDHaP3n&#10;qYl7vQwT9GzqMkmjKcjvIw0j/U4smTxMwqOU1lrY2lcGY6VbSkrUSqJwqrjIvJDqd4vBCgtYV0/C&#10;o6PKHy1uVkhXQe4NVMg+jYJMFvTLjoaGEupnXmyGB8ODQoPnBl0oPDX1/gYMDIkC6PWLlo+9UKF/&#10;W+sN4fajAo/vwsI+4fK1HBw2c2PVcN9mPGJrQn1qly90n8sXOCVDBHQe36NC/ILw1zevEIFErTe4&#10;U3rFsamPbc13TKJoCjKTIrlQkJkBiqYgv0jCCKb1K/zN0r2IZH/iiPJvBMmMWuMr9idMr7Dw2Bdq&#10;aOs+vindl0ho4luxx80qXJCZrKEpyKpgWMOvJXWRvk6yvv30ReliUAb9aoDt321644Km+iHTK6iU&#10;LrA/rbWLZH2qzIo9blbggsxkDU1BZlKECzLDMAzD5Du+LcdrfYGuh7yBru/nhEKd9zocxzL2pli+&#10;gBlNvMGOebkkeWpMLoGHPw7d0Whc9bazckrBI0HDF+o6LU8zQY4V4v80X7NNu89sqK1jjXHOjpsM&#10;b6DzG/Ik4+ILdB5p3HlMu79sC/8H11ieKpNtfM2df9UlVK7o4K3nGQ2bjtvvEkRlYUuHdj+5oEN3&#10;Nhoe/0nra7Za6oInpu64sUm7j1wSF+QcYVHLCW0C5ZISzSxe/4lv6rbPJS0IdcX9L/i/um1zTXtu&#10;uYALcS6wou1KbQLlkhItxPmQ+XcnkPHzpRBD8pSZbBKtEF9592JteOuNHuOKOxYZ+250R42jdOnJ&#10;BdpwpbabPcI9fFf3fqx+pXQU4nmLR/YIKxtUJNyLds/o8V9qxw6OWE6XWjvWZbQQH7p9oTY8U5Kn&#10;zGSTZCzx4OElRsvh+UZpeZExdESpkFq37wZ3RFyo7pyeBSd42VxRYM5ZN8EIkP+CHWcaoycONYZV&#10;lSFD9IgP9bYQlw8uMlY2TxU6s74mHH7xvplG+aBiY3P7rB6FuNJVHrFMuzcqBhdHhFnXQfDP9rqM&#10;PUcbjMqayO2VeluI5yyoDWvI8O7rXzNykDF26jBxLceRa93GqlkepzjX7VfPjwjHecPFumnzq0Vl&#10;Cr8Ks8a1itYx2SaZQlzpLDdmup3G9qvMDGC1mjWjBxkX7DwzvIxMBtdeGC7p9PXIHDuP1BurAmcY&#10;jesmGtvkvq3qbSEuLCwwqimTQ4OHloiw7VfVGWtbpgl/QaHDaD/ujdimccOEsB8VlGo1WFVUVEAV&#10;WZnwl5aZVn14dZk2rlJvC3HrTZ6wZtQ7RdiMhhpj0cpxwr9+2/SI+NBlt3ZbZ9cYs4UxdU5VOIwO&#10;KdLPutx8yRwjePlcY9mmKeFwncQJM9klmUK8gQrptHlVYas1d6FZUJUOUAFVftp1hAu1HJ4XruEH&#10;DS02dl5bLwrIlRTWfotXWPiCgp61fm8LcUlZoThXaBRZKhV+3sWTjHMvmCj8OAcVjq4C3EPUbRAu&#10;NVEXrzYLiVXnXTxZuM2XzDbWbTUrBKju7JFk8VzGmEndx1JKZ3NaFeLWm9xU4OYYi1eNF8tldB1V&#10;nGnzqo3JMyvDy6oQr9gyNRyGwqos8eJV48LpiLRqu8VDBdn8nzrJU2aySbRCXF1bEZYKQ1Nt6UWT&#10;wsuDhhRTBjczutJKyhwNjaMiwnqr3hZiNNWV33r+SmhheJaMEX5r62IvLDBlYvjPWjPeqBnVba0g&#10;XI/lm6cYoyYMEWq5Yl64izFy3JCIuEqZKMSoVFEQVbhKE4xdqLCxk80mNgoxHcKosqSrdRl+CP7h&#10;dN0O37nYcJ8bPT0pLpNtkrHE2VJvC3EuKZ2FGFYTbv05o8KthvM3TjYu3jNDdFGscSFroU6X5Ckz&#10;2YQLcd8qnYU4FyRPOZI3HI6/QW86HP+RbsTMDeAtc0J3xP097aVBieJaZ4ZgEoALcd+q3xdiKpyL&#10;qWA+gVfrIPJjzq2o0HoxFQztaQRtG+1TqUwMuBD3rQaKJf4tFeAnlWSwFtqDQdpGGkm6geKLuZWY&#10;xOFC3LcaEIUYUEHuMb2pFbK6YuI6ivcKFdy3SL+WSvQDbIyEC3HfaiA0pydQQcRXCwVUSNV8V1Gh&#10;OP+m7aZAtEfxZQAmcdJRiHGL47JT3Q8U2B+csEo9zKF7qCOa+rIQ75Kjutb/o9P2q+uEe6Cj+954&#10;IhowlpjpO5ItxCiwtFl4GX48rQS3Yoj5NFRRcYFRM6pChOFRx9Yb3RHbXHZr7Geq7cpUIcZTSThP&#10;+Glz8Qio9/wxRnmF+XglwqDi0kLj0lPmOU+vMx/bxP1h3Max3yePp0wWYtpUuOqRSrWMJ9JwC2r0&#10;xMh710hL8UDHzR5jdeCM8EM8yUicMJNdki3EeHqJNjO27J9tbL+mzth7rEGEz1ngMgops4ybOjwc&#10;9/LbFhpV8rFLbKPCQ5fPNXbQtmo5njJViNWz0FfcuUg8iQY/nnueNLMy4nwhtawKMTSKCkW8lzzs&#10;ylQhps3C54hCicoFBXTLgdkibOPemcakGSPMB0Mum2u4l44W4Qfp/HEdHAWO8MMjyUicMJNdztlx&#10;gzZxogmZgzYThRgudIgKK9YNqywzQoe6nxzCugnTh4uCAf9Zq8cbJWTV1DoVL54yVYjxphLOhzYN&#10;nw8sLp6pRoZX8YpLCkWFBT/iVQwpjrDWKl4i2nbD5rj/Jdn/gYKp0gXLOF8VfpgqKHv3RsWDUIjh&#10;llBrCv+rdlzib29dfse5cf8L0wf4Aiff1CVQrujw3Wcb7kAHpi6OizfYdZtuH7mkRCokX6jzH7pt&#10;YwmPhI6bMsxYcuFE4b9w1wzxYoRap+Kp58LHTh4qwiEVtqltVjheIkq0cmX6gGRr/r7SIarpvaHO&#10;N+RpJkSu/hdo+w1NRsOWzmXyVGOSy/8DCl4XMLz+4+FP4zA5gM/f8TZYZWSeXJAv0PXPBv/JhOfW&#10;suINnHwN+1i279qckPpP7g03j5OnmBC+0MnTattcki/Y+ZY8RaY/8vL+0hdPt5fjw3j9gpfbBr0p&#10;vXnNK/sHcdOXSQxklv6SYV5pL38Q/+XnrY6kLGiu8dMmR2l/ShcmgyCT/PpAeSP8p9sq/iMC8xiV&#10;8fM986v/cLq1/J6XdpeJj7EzTFRUIc537nM4iuDmewFW9Jf/wfQB/aUQK7gQMwMOLsS5CRdiJmG4&#10;EOcmXIiZhOFCnJtwIWYShgtxbsKFmEkYLsS5CRdiJmFePOCYiQzD6p1Ot5X/Od2SScQwTKZBIZZe&#10;hmHyES7EDJPncCFmmDyHCzHD5DlciBkmz+FCzDB5DhdihslzuBAzTJ7DhTgOc/wdlf1F87YeGyH/&#10;VlrRHStf5Q0cGyb/Vu9puq9Id4x0C4VYF55uzQ2eEt80yxt8zSf+cWD7Du0jbvmsHdtaDV+o45fy&#10;b/YKzGT42b3ztcfJZ50butnw+Du2yb+ZErg2z7ZXafefz1oY6jQWbLytQv7N3MUXONWm+wPJ6MJp&#10;RdpwiA4R9p9cWmq83F4RsV7pUk+J8eiWMu263ugnbU7D7e843/y3qYFMqtt3Mlo1ObFr9I7lpcbz&#10;+/TX6LpFJcYjGbhGXTvXptxETce1SVSfuzjx/366XR+erBaHOnK/+d6bRLiNCuW0qgLjZ7srwho/&#10;rDtDQnQIoZoKh3HfBWYiTBxeEBEHQua1hylh+89fHH19POE/4r+mynktN2r3m4g6G0uMutrIazRm&#10;iP4aDS11GJ+80LxGY4b0vEb3XaC/Bmr7bwTLtesTkS/QIT5Knywndm7Q7i9Z0a60/tNU6e+eb1aA&#10;I8oir1tfyRfovFr82VylN4V47NCeGW3hmMKwf29dsVFACfJ/wTJjcIlDZOZWCqPDRmwDXTxdb6lg&#10;uQcVm5lUtz4R9bYQ79zWpt1vIop3jS73mtfou1vL416j0Gz9NVJxddskqlSvkW5fqeiWc0qM4gKH&#10;8dH1pcYQqsxUOB0i7P9la0WPlhzijiiPlHV9OrQg2PW4+W9zlN4UYtpcXHirrBkU+n/bykUmVfHH&#10;DNVfZKz7Zqhncwn7VOvt6xJVNgsxbR73Gj1pu0YjB0e/Ro8Hel4jhP94p/m5VPu6RJXtQgzR7iL+&#10;wxebzP/6870VxrMk+N+2rFRcLxXnMxeVGa31xULRDEFv1a8LcTwr89SuCqOeLAv839/efeF1zaIt&#10;M0yLZA+nUxR9ROcgh7F1TmqJlM1CnMg18o0y43w71H2NhlmskdLaKUVGYZRrpNwryLLb1yeiXCvE&#10;1nEBFabTw5u7r5nqiqRb/boQOwcViJrQKmsGLZRWVLlKn6Z41uXZNd0Z/VMXdvf7nt1jWqhrFpYI&#10;0emG1yWjbBbieNeotFB/jR60ZE5o8djube5ZFdk3plMULq7jPFd3vGSU7UJ8ibvYmFldINK5grpP&#10;Khx9Yms8jClYlz+8rlT8fyXrunQprYX4TYfjjbccjqFvOBx/l0FRoTgvUNw1SrTtp+SqCHpTiONZ&#10;maepEMLddKZpQVdMMtehH6jivH9NZIb8FNWm/plm/BLK4LBUal2RLaMnqmwW4njX6Pl95jVqktfo&#10;7HHmuks93dfoQ7Zr9MDGcmo6du+jrMghNN/V81iJKtuF2Jq2Vn9olnldXmirMH64o9yYXpX6f0xV&#10;aSvEVBBrpVcQrVAqqBD/hlLlfNJZtO0S0hy5KoJ0F+JZFqs6Rq6nwwgXzUG4BxrMDBqtUL5ICZbO&#10;plGuFWLrNaqV/V86jHBVhXf1ghLh2i20Uq5cI92+0qmHNbfUYt3ShOi0tOGpKq2WmM5uBBXGMqkA&#10;wsg9QlqtRIX7NoSjEJP/MdItpBtp+U8It9ObQpwvymYhzhflaiHOBaW7Of1vq6hgXiFX9YDWIc47&#10;qGBfA9Hys3JVBFyI48OFODq6ffU3pbUQU2E8R3rhny29WqjQbqdC/Bbp7xCl0Ei5KgIuxPHhQhwd&#10;3b76m9JaiDNBXxbiH+0sD98iwagjHT588x73/35qGcRKp3K1ENOue4Q9tas8HK67Rt+w3IZKp/Kh&#10;ENPhwv4dc4siRrGt69KtAV2IX2rrLpQ3nFViLJlQGL7YVheZFY8cqrjpVq4XYnUbBY+eLhmfX9dI&#10;t69MiA4Vvh4QntTaNsccIFUPBGVKA7YQ066NG8+OvLf7/e3dTxWtm1pkfHBtqTG/tjvTZkq5XIiL&#10;C83MqQryU7u7r9HmGUXiPmguXyPdvtIh2jVdE9O1hln90Nf8ZcZVvtQecElUA7YQwwrT7iMuvLUQ&#10;K2H5F/vKw5nZui5dyuVCDBetFHWP11qIlWBpcD1z8Rrp9pUO4TFL2n1EFwvL1jgqDEr1GYJENKAt&#10;sdWF7IX4seYy40qqRQ/7zHui1nXpVG8Lccu2A9r99la067B7WD4AYy/EsDSXeYpFQbduk275gp1v&#10;0b6T5um2au3+eivatXi6Da41zB5Huchb716ZmccufYGOr9AxcpdMFeKVk4vExb1RZr4PrikVDy4o&#10;IQzrVXz4375M/6pdb5VqBlVk6hrhkVJcC/XMOJ5Wi3eNTi3NzDXy+ru+Kf5skmxuuVy7v95KXRPl&#10;2q+Le2T3AzPrqWum4qVbL7QNNWZvuSbiQaucY/L5Vw2/ZPt27R/oD9q89XJk/l7h9p9sf6qtRrv/&#10;/qDetFTcwc5/pesF/FxUb1txfQYKMk52QajL2LGtvV/I/D/pSwCP/+Ru7G9Z6Jj2ePko/J/etlKA&#10;r/nkaexLd4x8VbquTb9kxXWPzZJeRgNfn9isPPLIm9LLZIvVRx81ILnI2ODrE51VRx7+I1+bLLPi&#10;+kceW3ndw8FlRx4+Z+WRR++RwYyEr09sVl3/8FtcyWWZVdc98u+V1z/SCP/K6x/6gwhkwvD1ic5Z&#10;B77khIsCvPzaL3tFIJMdVCZl9PD1iQ1b4RyAM2ls+PrEhgtxDsCZNDZ8fWLDhTgH4EwaG74+seFC&#10;nANwJo0NX5/YcCHOATiTxoavT2y4EOcAyKRICFZ0rbr+0Xt14SxTMisxTG6y4rpHfiC9DMPkI1yI&#10;GSbP4ULMMHkOF2KGyXO4EDNMnsOFmGHyHC7EDJPncCFmmDyHCzHD5DlciBmml3gCJy/ETIfZUmPb&#10;+7XhfSWe4ZHJaxqab/GuvuZ+Y8ONjw1ooTDLS8Iw+QUyry5TD0T5mju3y8vCMPkDF+Ju5fxHxBhG&#10;BxfibnEhZvKSdBfi8w7cqw2Pp7FzztOG96W4EDN5SboLMe3SWHf0IaFZy/eG/dD5l300Iu7S/e83&#10;nFM9wu+SbqJaccUnteG9ERdiJi/JRCFW/tkr2yLWrTgcWfCscaH5Gw5FLK+/4ctGUWm5UVI+JKzC&#10;4hKjoKCQCzHDKDJRiD2bbxAaN39F2A9ZC/GURU0R20Hn7HmHsaT9vRFhK664L2K5cd+7ZDgXYoYR&#10;ZMMSrzj8KWP9sUeFf+y85caqqz8XjnPeJR+K2MdS6mOvufaBsIrLKkQ4F2KGkWSiEBcWFQuh2av8&#10;0Lmt7+4Rv2xIVY8wq1CIrcsl5YOFy4WYYSTpLsTrjj4c9tstsV3lw5wRy4OqxkQsQ4u332FUjp0Z&#10;IYRzIWYYSboLsVWxCnHDxiNh/2pqJo+cvsgoKq3oMdgVTVyIGUaSyUI89awt2nCodNAIKoj3Ud/4&#10;kYjwqWc1RyzbhRHr8y/9cMKFPRlxIWbykkwW4nwTF+I0QNXrZJLB6r3ecDgSer2OC3G3vIHO/5WX&#10;hUkVynX8TZ40gYIsvTHhQmzq/Ms+ltD1YuLAhTh9JFqIwUAvyI373mN4/Z3fkpeD6Q1RCvFHpPuE&#10;dK3cKF0rrdK1807pKjZLt1+STCEGM5uODfFt7pg4ECUvAZMONIX4p6RPmV7H09IFPyTdQfqFWOrm&#10;VenaeUi6VopIQdIgsWSykFRgevObZAsxw6SFKJb4VtIE0rfFksk60s9IvxVLJmOlCxaTlAW/nvSI&#10;6Y3gPdKlw4YpJ6FwQyUIyFe4EDNZQVOId5CaSMUk+/D/UelagYW2gwJ8l+kNs1S640m6mRafl27e&#10;woWYyQqaQrxfuoWkr5jeMB3StaL6vfa44L3SBbC0CmWJD0j3fOmiEKCQ5yVciJmsEKU5zaQAF2Im&#10;K3AhTh9ciJmsEKUQr5SulUXS3SddKz7pKlLJzDWkj5veuEyS7grpxuM16XZKV22fVrgQM1khSiG2&#10;jjorvkD6EukbYik29dKNB/rJF5legbUQY4TbzkESRrBLxVL3uau42F81CYNyXyP9jgRUIcb97Iz1&#10;udNZiPEwiPQyTGySaE7PkC44S7rg16Tvmt4w90k3ER4kjTS9EYVY3d7CPWV1X/kYSYU/J12gwoaT&#10;MCAH1Gg4UIUYzCPda3rTSzoL8fJDn+AvJDCJkWKfeJh0rU/eqAynLN1c6cZCbTNKuqoQX0zCQyVu&#10;sWRyjXRRYCtMr+NzJF1cgHNUt79UIcb9b4yw626L9Zp0F2I8nsgFmYlLgoXYensI2JcZwl6IUQBT&#10;lSrEXJCZuKRoiRkNukKsCmJvxQWZiQoX4vSRyUIMJVOQa30tPeI6PYGfuTyhN5zewEYs13hC0+CO&#10;qPfPcXlDD9Z4Qz9xeYInESYpdPpatot9jd1YUesJ4tn5CJzu4BXSqyhweoO3Vs1rGWM/B6c3dL/0&#10;RuD0BO+U7v+6GgJivMLZ4F9M+/m3Y+bM0hpv4FrH1JVlCLcy3O2fTOf9F7mI7f8It9KzZRbOQQRK&#10;qucHPHCdnq3zRYCgEQOgjkq3f5VYJKoatiyT3gic3hb1yHDuEaUQo8+IZ5qtYPDqbtI20qMIsIAw&#10;heonf1O6sZguXUWit5hykkwXYiiRguzyBv+MAlTrCd1Oi2qgz1HjDm2mgvoLh6Mh4hn1KnfgASrc&#10;/0VGdflaDlJh3ypXoZCexr5GzA9iQDCMKqBD5m90igCJs755hbM+sBx+ayGurvf7qfL4g9PdcpPT&#10;ExKFFtA5/VLFc7lDp1FZwO/0NI2kdf+CH9A2N0gvnVMoBLfG419b3RC8QARaGDSzaST9l6+qQlpT&#10;Hxjl8gbEY73D6lumuHx0HEDHcjaE8IixoKYh+GFx3czzsbyUc6zQWRecCp/THUhm0LZviGGJxYWy&#10;MJo0hWQdpQa4pWMFhfiU6Y2LKsTqZQlViFFrrja9+QOlfDjTgmwVYmdDUDw6S5n8bSJAQoX79WpP&#10;4HcqcyvIal1BVvI/VfM2jkEhlsGCGnfwj8jUZLXDL7RUeSMLKa17O+3jFhVW6d42jiqC29V6BR3/&#10;E46GPbaXXBqLa71BMWjp8gU+pKxpzfzmM8gC/4GWr6pxB16jQiwe0cWxYOXhd3pablTxQbUn+GPR&#10;ovCEXiX3LZcn8DexYm5wsGNmk7otGQFVCBdRxfZ7uahtwQBYfbh0vB6tkawTpRAjIV8xvWF+Rbrc&#10;9DrCTRgCbzbNMr0CZYnjZjZCFWK1P1WIR5BeJC0QS3kC/eGI/5zuQpxIASYKKhtC0e+FN6y1vgYq&#10;oEJyLRVW8Vw8FcZ7RKAFKpDWW3QCp8cvmqW07nURIBlRHzi7ps5/DvyqQIyoa5nr8rZ8gKz937Ec&#10;SWPxUM/maVSY/lXr2xy+24HC6HCYTWh7waLWwXZYUSqs36nxtvxDBsPaLyHr/dnh87aOoHVHqt1B&#10;8UxDjc+/R0Qg0GVwOMwCjVYJzh/7h+vytLzP5Q5+T0S0MjUwzDmzaQi8ZNHJwucYmkKMWvr7JGsh&#10;tr7vu4mkCp31Dz1DwjYXkrBPe1NZB+KgAoCL5rv11g8uZl69Z5zJQpxgAaZCuqcEmZKs8HcoU+6C&#10;5Bo0K8+W3oiCQYXrkPRqLRFZQVSoESDeiDo/XlfF7AY6K1eo2xdwev0vuXxbauGH9adCJe52UEF/&#10;Fq4A/8MbWFPjC27BIvZV7Q19c8j8wEyxnkAYWePfKiutIMv+ZaxDFwHLqHBUpVNdt2W0k5rU8Js0&#10;FQ2eG3TJBcGQhuYaqth+JBfNZjc178lXQJVElxmYQ/DAVvqgHBuRaVHwUhXfYmIShgtx+rAX4t7A&#10;D3swCROlEOPxRTtqAEs9ORULDO9HDKokAPo/Xza9jsPSjRiAsfFz6SYSt09IdyFOtQBT8xJdG2q2&#10;Bl4SAQnicofekN4I0F+sdofeWzlvS3jso2ZuaFq1JySekqt2ByK6TlXeluV07H/LxR5YR52ZNBCl&#10;EH+AZJ+JEP1f9DFwT03cX7QQvo1BqFtLg6WbKHQqAlUY8VYTwHF1U/1YB1tU3KySzkLcGwuM/qCp&#10;0LepQL9bBgsq3ZtmS6+FxmLqP/6c4n6+xhO8RAY6arzBz4i+pTf4JlzqJ/4PwuGvor4pbfOkyxP8&#10;m6Oxe7S7xh3cUu31L6mqD2xVg0EKZ0PzWS5v6D6nZTRYgX1KL5MsUQrxyyT7LabPS9d+S2k9Sb3i&#10;B5JJDJEpCDWzh7AgBO7JqYLZRlIDK9aKRRVia9ysks5CnCq4NUMF633kLXTJEWcr0QqLKKye0Ptx&#10;31YGCTA4hHXDZm0ODwZhGXJ6gje6vP4HcTtHrnLUegJ/q6n3N2AU3NkQeGXI1O77yOaxjxWqAScr&#10;uP0lvUyyRCnEuE9rvxWBJvaZptfRLF2gbmeoe8Nqbi3xhEwcMAoOMDqpmvBVpKtIKND295oxM6ZC&#10;FeJocfucXCjEoMYX/LbTGxSvYVKz9p8i0KQAD0LUeAMRraxqd3AdrK3Lt0W8tOJ0Bx8QKwhRWN3B&#10;71FT++syKFwRoMDDT5XFw2KFhPb/O5c38Ge5KCDLvJws/XdoP39V2yvUMp0D3ohjkiVKIcb7xNYn&#10;ts6QLkA/6BOmN+IWEAqistLW1wDjoR7qwMQC1skFIp4EIlQFouLEipsVcqEQ1zSEPoKCKvzyVotY&#10;QdR6gzulVxQcWo+CXuSYt2EEbrVU14Xc5i2fbkS8+uAl1JQOzyGu9kn95LvIGq+0HgOguYxKQS5G&#10;gCY74uOeLpYp3m/ECgK3eszjkSVnEidKIWZSIBcKsaNhT4+HOZKBCqXq0jgc09cPrZX3UO3WNsyE&#10;RvvjuWGqGlq80stkEi7E6SMnCjEz8IhSiHVvcqj+KAaa7FibP3h0bqjpTQiMbKP5h5crknlCq8ej&#10;gNmGCzGTFaIUYtX/tIK3N9Ck0n2exYp6/lXbJ9LwWRIKseUVMcHV0kV/HIUbgy54hU5Ny2MtxCpu&#10;VuFCzGSFJJrT1vuL1kEl3P6xPjSezAsQ6raCmmMrfI+SwER3ClWp4NaXwlqIrXGzBhdiJiuk2CdW&#10;zeVx0gUqA6tCnMjDHuoD0yjEeLFC4Sdh3izdbSp1vqoQx4rbp3AhZrJCgoXY/khjXn/4LFNwIWay&#10;QoqWmNHAhZjJCijEbzocj7N6Ly7EDMMwDMMwDMMMcBqaOof7mjv/itdBF7Z0GEt3X2+saLuSZdH5&#10;e681GnfeEJ6JxhfqOCEvX8apC56Y6mnuelwdm6WXz9/xWffmm613ENPO3I03T/L5O/+pOz4runzB&#10;zt97mo6pRysYhrEyx99RiYKysv0K46q3ncVKQofuaKRKpstwBzq75xhMK8cKkTYLWzqNS29fqj0H&#10;Vk8dOLlCpIsv2JXWN309gc4jSI/tNzRpj8uKr8CRkDDM7mDndnlZGYaZvuXYaBQMGBVdwWElpuWt&#10;Vxkef6d95vpe0dB8/EykDRvh1NV6Yq2o+Cc0Hov6AnGieP2dr5+766j2OKzktailAz3lH8jLyzAD&#10;G+o5fPu8PUe0hYWVuA7fdbao9OVlTQvYH3oRuuOxEtfGK3cZnmDXq/KypsSC4ImpSA/d/lmp6dAd&#10;56a9zDBM3uLzd/4G90J1hSWW1m6dZrTd7NGus2r55ilkqBaHl3dfX29sPTwvIo5dV9yxyFjbMk27&#10;LpeVCWOsOw4rObV2rOt12viCp3ycHukXG2OGkSRrjItLCo3Rk4b20JDhpcbC5eMi4gYvm2ts3DdT&#10;+IeMKBXuOjLil9+20Nh/3Gtc0umLiK902a0LjNpxg7XrlBatHIdCbLjGDNKuj6XyQcViW6Ur715s&#10;HOjwGYVFBcaImnKj7uxRIt7O6+qN4tLCHttHU7aN8d5jbuOKOxcZNaMqIsL3n/AaB7sirzX+81BK&#10;E6RR3dkjRcOq+ZI5xrar5huVzgrjslMLI+Jb5Rwd+5pfdutCY+uV843QoXkRDbF4uvTUAjqH2bTd&#10;XHF+KhzntJvSQi0fvnOxcX7T5PByPOWCMd6wfboxduow7Tqr5i0eaWzYOV38f+jQ7YtEOs3x1UZc&#10;E7voFI0DUcpTskI6tN/i1a5Lt9gYM4wkFWM8/ozhPTSs0jS2SgtXjBXuvhvcwrhdenKBWHYUOIxJ&#10;MypjVizNB+YYMz1O7Tqo9Sa3qHxQKcPdcmC2Nh562KLxMHGoUTGk2KgYXByxvvngHLE9zm3HNXXG&#10;oKElxjnrxhvT5lUblWSUl22aEhE/nrJtjIdVlWnDl140KWIZFfyoCUOM9WQgsG7k+CHhawRXybqN&#10;UisZbVxT3TqkKZ22MWrikHCYSne7EBejJjg2DLB13WyvS+wH/sLCAmPHtXUizyy5YJKxOngGNTaS&#10;a4Bl0xjjvHXh7dQYnVEfmceRj2vHDhYNmflnjTTWbZsurs1k2sdOugZF1FiM1oClU9SGQ64xg0Xe&#10;CFDDa/r8ahG3odFscOqE6z+YygL8ZRVFIp3GnzFMbIdzQ/lE/mk5PM+odJWLeMOqSpMuLxAbY4aR&#10;JGuMh1WXUcVQ30NzF7p6xEXvF4Uf/tAVc41xlp4BWt6Dh5kF3qqDXQuMM+ZWCX9peVGP9RCddg/p&#10;4h2iHjjWobeL3pyKdyX11oqKC41ym3GG0ItEDxk9ZRidAx3msj2eTvlijFHJ11Flv3n/LOO8i811&#10;F+2eYSzfYlamo8mYwlhYt1EaQo0ujGycWV/TY92eYw3iGl9GPSv7OrsQ7/yNPXu3uP2BdbidYQ1H&#10;miF815F64ULIX9Y40ZQPxhjXFI1WjNpUuSpEQxLhuN5wkbbRGrD7qHG6cPlYY8xkfQMKxriqtnu0&#10;BKMh9Jci4mB5wvThwl9G5U4ZY6VKZ3lEOaim/Q2numDP0QYRjkYXRjBiNbJ1YmPMMJJkjbG1UFvl&#10;WzamR5iqbFWFBEPrO9+MBwOJHpqKC50xt1r0eq1hK5unCkOqCvn8xSNFxWCNgx4dKhxrmBKG+Aqo&#10;Nz69riZs3FHZlJZ1C618hE+eWWn4zuv+HzjHouICY8mFE8NhsZQvxrieKv2Dsse6ca95G+GQrPwh&#10;NES2X1MXXoZgDEssQ/ZYriDDYY0D4ZYFnbowLDAQ6FnZ40DDKstEJY7eGuKgMsd2qODnLqwVUsYW&#10;jYYhw03jsGzTZJFOy6kXNmWW2WiLp2wbYzR87JrtdUYYY+RvlI1d1AjBtUAetw8Vn79xkrGTGiPW&#10;sEu6fGIkB34YdN1tG6sxxhA0/R3K25F5BWGepaOFf9TEoWFjvMo/Vayzl0sVbwGdM0a/BlEZRHlG&#10;XHu8WGJjzDCSZI3xLsu9O6twn9e6vG7r9LAflbvOj3uKcFGYVVg+K9vGuKS0SAxv2gUDiR6/irey&#10;mQzZbLOBhHuZh2437w/PIwOo4uB2Alz0fKwjGnbBqMOYzvb0HBnJFWXTGI+khh4aDnY1rp9gTJ8f&#10;ObpQf445dIxe84otU4UfIxdqlKCopLtnCoNdNVLfMF68arwY0t525Xzt+nRo6+H07JuNMcNIkjXG&#10;rOjKtjFm6ZULD3Cx9Eo6Xd5wOH5HWxSR8L1SLH/1vw7HBvhVWCq85XAsJQ3VifZbSe4cGZVhMgIb&#10;4/SJjXFuio1x7irhdKFYxWR4f05uEbl/Rhi5T8J90+G4gwzyevit0Pqv0bp3RdE7ZTQBxf0NhT1B&#10;elIK/ifoeN8j94ekT8moDJMR2BinT2yMc1NsjHNXSacLxQ73fskf3ph6rptpIeVJr2GMaR/zyOj+&#10;gfQM6XnSX0nPkX5J68neM0zmYGOcPrExzk2xMc5dJZUuZCyPkBaT6iDa0lB+KayvldGTggzum7Tt&#10;XHJfJf3aLjLGL8moDJMR2BinT2yMc1NsjHNXSacLxR5ChvGH1E29GMYYYWRE8cw3wv8pIhFkQNGj&#10;jSmK/wzi0vYVtHw3/OgBk98+pP0o7Z8/NcVkFDbG6RMb49wUG+PcVa/ShYzkXdLbK2CMpRf+ZdIb&#10;BsZeehkmY2TLGGNaTDq8EN77RRimwFTvm2K5qXWmMaPBfBdzU+ss8W4qJjaINQPULJ9TbK/eo421&#10;z3Qrn40x3lGlQ4aF6TAxw9KU2VXGxOnDjf0dXvEKVLF8vUa9U4r3uOHuPdbQY5/Qlktmi/UTpo0Q&#10;y7H2mSmxMc5dpbvMMEze0hfGGBW3mgAEE3Bsv7r7HUVM6lFQaBrKtSHTQE+aMUK854o5jq1xMb+y&#10;dc7qqbMrwzNrWScQwbIyxvH2mU7lkzG+pMMXvm5L5SxckJoUAvNDYyYt+NH4wQQeF+46U1w765SM&#10;WK/8O4/gLp7DmLPAZbjlBBIQJlxRxjiRfaZb+WqM6bBixjG8l+wcPVjM/44wNDrV1K5YhjvhzBEi&#10;zeDHNcYkH5hUZaa750xpEGanw3psr8pKrH1mSmyMGUbiDXQ+ff6ea7UFJV3CBwjwoQhUIqiEt+yf&#10;bbTd5BGF3t6jQuGH4YSRQK8LBtj+4QMlzH89Rs74FM0YQ8nsM1VdeXdmjDH2qzteb7X9GtNwIk1g&#10;mOFiedq8yFmt8OEJNQ0iZiuDi3jWOEqYMQqNLVTq1rmPrcYYSmaf6dC+E703xg3Nnd5MG2OVBpiu&#10;UvlhjNV6GEcYZPhhcNEQ3XHNfDGt6+rAGSK+atRgcp2pclpZ6OK9M8RscmoyFyVso8pKvH1mQmyM&#10;GUbi3nR8dqYrmYGgzVftMLz+rtfkZU0LSJcNl7Vrj8dKXCtarzQWBE6+IC9rijQVIT0uObVMe4x0&#10;CaNEoyYMNVb5TUMIY4zRI/jxMRNIfYFrzkKXceGuGWJqUsyChikrMa+4fZ9QeUWxce6GiWI/MPaY&#10;+xr7wjKmJE1ln73V7ls2GL5g51t0DgzDgPpgx1JUNPs61moLDSu60HM9e/uNhifNhhiM3XhZBdLF&#10;f81W7bFZ8XXh5a2GN3gyLa+INoQ6xyM9dty4UXssVuIKHAmyIWaYaHgCXbtQ2UDrLr3E2N+1yjh4&#10;6zKWRZecWk6VcZNx1rZbxHXyBrv+JC9fxvCFOj+IY61sP2xccWejtnJjdesQXaOle46I9PH4O4/L&#10;y5g2KD2ux74Xbz1uHDi1wrjirnO058HqFq5RW+dqkSaQL9jRKi8nwzD5wu93OIa+sl88qDXgmRs8&#10;NHhBqPNe6lU8lQtaFLjl2UDowB9167Ihb6Dzf+SlGrC8vLfY+3Jr6RVykWEYpve82l4yB4ZY6eXL&#10;ul8JZLLLr/Y4Bql0Od1W+lUZzGSRV9rLr+A0YRgmrbzSVrZNGODW8gdEBbOv/D1wX9xfvFhGYbLE&#10;CwcdI1Slr3S6teLfcjWTBU63lX1PpcXLbRVvmmlS9iu5mmEYJnme2eOoebm94i3qfY3/9YHyRlQs&#10;CH+ltex8Cn9DRGKywvP7HC5R4e8ve9KaNtRo+p3yM33LK+2l33m5fZB4IEoY4fYK8UAh/K/sL3sF&#10;foZhmF5hrfCZ3OJ0a8lcpM0L+wbVySAmy1iNMcMwTNpgY5y7/GJP+XhR+beV7ZVBTJZhY8wwTEZg&#10;Y5y7vLzRUSEq/9aKj8sgJsuwMWYYJiOwMc5tkDavtJd9Wy4yWYaNMcMwGYGNcW6DtHmpvUJ8GpbJ&#10;PmyMGYbJCGyMcxukzStt5X+Ui0yWYWPMMExGUMaYxcqmXm4bJN7dzQexMWYYhmH6JTByL7dVPC0X&#10;GYZhGIbpa9gYMwzDMEyWYWPMMAzDMFmGjTHDMAzDZBk2xgzDMAyTZdgYMwzDMEyWYWPMMAzDMFmG&#10;jTHDMAzDZBk2xgzDMAyTZdgYMynh3nry4gWhkwYrP9TgP75YJl3u0His2OPv/I7ufFm5J1+w6y8z&#10;m44NkamXNeYGj7l055fver59uPH1fZO16/JZ3uCJjzocxwpl8jHpwhs8+Z9FoQ7tfKWs3NWz7ZVU&#10;MLoMT6DrZzIps8acNVdXopD6tx7Unisrd/WB3YtFBetp7lwhk7PP8AZP7UcefmDvHO25sXJXK0PX&#10;i3zjaGoqksnJ9AZczGM7N2ovdl/ohbYKfFnH+PKWMu36WPr+9nKjuMARXv7Z7nJMdi78n7ywzJhZ&#10;U2DcdHaJUTvYEQ6Pp3csLzWmjCjQrstV7dm2z/AEu/5kpmjf49148yTkI9259ZVe7EU++uGOyHz0&#10;1K5y42VLPkJ+uPmc5PIRths7NL/yEdLQHey4zUzVzOMNdHxkSegm7bnkk1yDHMZnLzLz3afJLS92&#10;iLxoj2fV4/5yEaeAVFyYmBB/rjO38tS3W8ebBpnpHQtDt9ZloxL9aqDcGF7qMK5dVBJTi0YXGk7K&#10;6Lp9oFKkv2C8RJWwCsOy8r9tWalRV1sYXv7hjsQq0RvOKjGmJmmMqyvMggKNpApbFyeTepmUzQKx&#10;gHrmzVsv1Z5bJpVoPlo2schwUhrp9qHyEYy5CsPyL1tN//tXlxqznd356EcJ5qO3LSsxJg5PLB/h&#10;eJCqcJW8o/u24v3ivtmGN9j1Xzp2n4A8i8pcdy7Z0Mvt3WnxgbWlIuy0Jez9q3s29O44r0RrIC+c&#10;VmQ82hy7Yfj0ngrjF/sqjBda9fr4hjJjamV3AxDnYN9HLggjG75AxwN0fkyq+IKnfNkyxon0Gtrq&#10;i42FY7orQqVHqPeD1ij8T2wtFz2XcUMdxtbZxeE4MJDvIIOslhPVUKrcy4oSz/QfXV8qCsmWGcXG&#10;qCFmob3C130efaVsGmOfv/M3O7e1ac8rk0o0H6GBpctHX6HKEvkE/u9tqxDGE/momdJSxcHyXecn&#10;n4+w3yJLbzuW6BJGVLSqgWAN6wt9Zd+0Ps1H2ah7EhGdmtDRxcVh/zdbynvEaxxfKPKWPVzp8xvL&#10;jVJqYFk7DHapERid0BCwLuM8rMu5opUtR40Fwa7H6fyYVMlXYzyrpkBkzEKq7HbONQuMtbBc4S02&#10;zqgy949jDSMDa8/YOmHYu5wM8XdoX7MTGA76JbVecexBxd2FBMtQrEKWCbExjq5oxtiaj/wzzXyE&#10;far1N51TYkyWvVuEV1A6JzJMjXyEBt2T2ysSykc4rk776oq08TMlNsamrL1hCPWBdf2TlL72fPfh&#10;daXGsDKH8f+oc2ANhx7YWBbe193LIo33w5vNzoQ1DMJtjjMqI8OxvXU5V8TGOA1k0xij53DvmtKY&#10;Wj2lUFuJQqgUfaMKjANksFXYR6hAROuN0N811tD+dOsgdc9RLePeD4aIrHHsQvxoGlzStwVnoBrj&#10;RPJR88yimPlo8dhCY+e8bsN33wXR8xHu8S2bmHg+uv/iMmPC8MTykTXsSl+JCJswLL4xT5fYGEeO&#10;SvyitTtt7t8YfXTkY+tLjTGDI9Op89xS46ld8RtusYyx9TYbhPOwLueK2BingXztGR9oMA3wnvlm&#10;BfotW8v1hrO6DfQvW8uNn8YpFKeWlmjvKeKeDl0m4wtNPe/93Hi2WVl6R/U8P/SKsC6W8U+3Bqox&#10;7k3PeM/8yHz07Rj5CEYWPV7rervetrzUqKTekT1c5aNPkpG3r4OwLprUveu+0EA3xqohBVnDVdht&#10;VE9Yw6Hl1DDD8yn2cEjdg7Y+j2AXGv32HnA02c8rV5TTxvgth6P1TYfjC6SHSA+QPvSGw/EsuY/L&#10;5Qdo+VIZPSlou9/Q/suiaA5ph4wal2wZ4y9tKhP3UjxkyGJp1GBHj9YhhCFgDBl+I2RWjsj0hZoC&#10;9ANL5Ylla2WKFnBgVpExJ4FhxPstw0zHFndX0LmkgWiMH6FeRSL5aPwwhzHf1TMfIQ9Y8xFEfyci&#10;Dpbt+cg6bIl9bJuTWD56kM4X20O5mI+4Z5y4Ti01nxWxq5Qa4kNKHMZ+2WGAEH7nedHvLUcT6qsH&#10;N5cZz+6tEMJ+dPGyrZw2xnTVRpLB/asSLRuW5X+SbpdRkwbGmPZXSCogw7uCtFCGP0NhlaRBImIC&#10;ZMsYs9KvgWiMWekVG2NWKsr1nvEkMrh3y0UY57RlcOyL9j+P3G10jI+SC8P/cTLGL2E9+V8QEROA&#10;jXH/ERtjVm/FxpiVivLinjHl6gIyks+TG5HBKexl6U0aMrbPwaV9vE5G+VqrYJTJ3SQiJgAb4/4j&#10;Nsas3oqNMSsV5awxJmN4DRnKH8lFgdUY0/qd0ps0tN8fSC/8b5DxxT3osCjsKTrQSBklLmyM+4/Y&#10;GCeuH+8sF6+ixHr/cyCKjTErFeVFzzjX6Y/GGA/UnD0Wt9RFA0jIuj44q0iEPdZsPkwzdUT3+p/s&#10;MsNWTe7b9zvTITbGiWtmjZk/Prwu+gxJyEdrp0bPR5d5zPeSVT6aMKxnPloxKb/yERvj3gl5Bq/I&#10;0V8Ly7r+3SvNNzC+1FQuXpGzPnn//D4zz8zTPGiY62JjnAby0Rj7Z0ZmduizF3W/WoDXSOB+f3v0&#10;1xTGDDGffJ1RXSAKBfzKgFvj5pPYGCcuZYzfvtysHJUw9aWKo/LRU7uj56ORcha4xnHdeSef8xEb&#10;49hSryxunmE2sn4hDWhJoZneP9/bPdKCcEgtqzA8vQ9/a51Zj8GPV+vg78vX2NIpNsZpoD/0jOlv&#10;9Mj0UDRjDC2dUCheicH8sapFildTMGz5zhUlxmfIuPf1DFq9FRvjxKWMcUNt9+tImKQFYaHZkb3Z&#10;aMYYUvlowxn6fPTpPMtHbIzjCxN00KkbZ1SaeaKqvGe+gLAOsoejM4HXn9BoQ95AnPHDCoT/PatK&#10;xCQ1+Xb7hI1xGsg3Y/zzvWaFB40fXmAclrMUQfa4sYyxUkgOWaNF+vZl5r4Qrt4HxSTu9m1yVWyM&#10;E5dumBrv/SLMNzpymDCWMVay9mzupd61iquGsH+ys/u95FwWG+P4+r9g95wD0I2WiWGsUut166Db&#10;zjPrm+9uLReTCqm4T2wz8xs+EmHfJlfFxjgN1G08MTWfCgRmXKLTFsIUdKMHdxcKFQdD1irMLhUH&#10;LU8sj7PM3oTp5xD2gx3l4dm11Lpc17Nt+K5x9oyxZ0vX5y5suVJ7brkoZYx1UnE+f3FkpWuVioN7&#10;hFi25qMvbjLz6DdCZcZd5+dXPrpnV2OffooTefb+PXO155KLwjSpdNrGJDlfOUZFsKymR1WfRdRJ&#10;7UPlGXxtTIV9I2hu955VpcZ9sh7KpyFrpKMn0Jny3BmMxBs88Ux/+KboQBUmtUdh8AY7viyTNCvg&#10;HG7ccZH2HFm5ryf2jRX5aPyaqytlkmac+k231OOYmEFPd06s3NfBbduoAdf5hkxSprfM3XR8NgrF&#10;itBRKhiDtRedlVt6oW2osSjUYfiCnW/NXXZosEzKrOL1d30T+ejWnWtEI0F33qzcEdLo6/smCyNM&#10;+eivMhn7HF/g5Js4hx+21mrPk5VbQr65YntQ5Bv3lo73ymRk0k7DnhJP4MSX8JHx/qLzDn3iLV14&#10;vsoT6vyUTK2cZd6Wm2Z5A13f1Z1/vqm/5R9THX/0hLr2yeTKGbzBE9dQo+6f+nPON53876Id73hT&#10;vy4/5Qt2fW3W5pvHyeRimMRZffRRA1p13SOnZRDDJAznHyYVGo/dN0TlnZVHHr1HBjPMAOTYsUJV&#10;GERlev3Db6088sibci3DxIbzD5MiK657bJY170Arr3vkJ3I1wwwclh162IUCsOL6h3628vpHGuFH&#10;OCpU5WeYaHD+YVJl5dFHmsy88/CVK6575AcyvxTAXX3dI1m7L88wWcdamTJMsnD+YVLFYowZhuHK&#10;lOkNnH+YVGFjzDAWuDJlegPnHyZV2BgzjAWuTJnewPmHSRU2xgxjgStTpjdw/mFShY0xw1jgypTp&#10;DZx/mFRhY8wwFrgyZXoD5x8mVdgYM4yFtcfuH4QCwWL1Rquuf/ReXTiLFVPXPvRjWRUxDMMwqcK9&#10;G4ZhGIbJMmyMGYZhGCbLsDFmGIZhmCzDxphhGIZhsgwbY4ZhGIbJMmyMGYZhGCbLsDFmGIZhmCzD&#10;xphhGIZhsgwbY4ZhGCZn8DQdG+kLdJ3yBTseGEhacc39f4Ex1q3r5/qk29+5SiY/wzAMky3I+L53&#10;QeiksfTAB431N3zZ2HDjY6wBJKT56mvuN5AHvMGuX8tswTAMw/QVvsDJN8/a/U5tJc0aeFp51WcM&#10;X7DzLZk9GIZhmExTt+X4XPSGdJUya+AKecLT3PF5mU0YhmGYTOILnvKxMWbZtWjbHcaCYNfjMpsw&#10;DMMwmYSNMUsnNsYMwzB9SD4YYzpNo6ikLClhm4LiUu3+lNbf8KhRUjHUOHv328Tysks/KraDKkaM&#10;7BHfrjOX7gjHT0XDaqdo95sLYmPMMAzTh+SLMa674HCP8Nkr28ho1vYIh7DNisOf1K5TKigqNlzT&#10;FvQIX3bpx4zSwSN6hPdGQ12Twv4VV3xSnJ91fa6JjTHDMEwfki/GePSsRmPmsj0Rqp2+0CgpH9Ij&#10;HMI2sYxxQUEhGZxbteugtdd90dzHlZ/Srldac+SLQuuOPpSQsA0bY4ZhGCaCgdYzPu/AB4zisoqI&#10;sKUU5igoMEbPbIwIhxa1nBL7qp40v8c6pXNb7xHbY8jbruKyQWL7GeftCMdnY8wwDMNEMFCM8aqr&#10;P2eUDakS94mt8SDEPbftnh7hVq0/9qgxeva5xsorP91j3dID90Y1rou33Ua998ERYWyMGYZhmAj6&#10;szFu3Ps/2nVKa69/UMSDobavm7/+kFF75qIe4TotaXtvTGOMB8qsYWyMGYZhmAjywRhHUyxjHE8z&#10;z99llA93adcpoTdMl8jw+m/Rrldac92XjAkNa7TrdGJjzDAMw0SQz8YYD2ola4yXX/6/whAWFpUI&#10;166qCXOM+ouvFcPR644+LOZsRvjIBHvJOq04/CljzJylhmfTUePsXW8zPFtuFPvUxc0VsTFmGIbp&#10;Q/LZGJ+9625j5oq92nWxhB6vLjyWdPeaU9Ha6x8SPWPdulwSG2OGYZg+JJ+NMStzYmPM5BRvORyN&#10;hsNhsFi5pjcdjrRUlDMbjw0RxjhNPT9W/xDyhCd4YqXMJgyTXZQxlosMkxOk0xiDuuCJqah8zzv4&#10;YW3FzBo4Wnvdl4Qh9vlP3CizB8NkHzbGTC6SbmOsmNl0ciQq4rBaTrEGgixp7t3SsVRmB4bJHRIw&#10;xoWk/yXdS1pAmkECv5euFcR9njSW9DDJTQJ/JM0zvVGZRRpuerUUkZpJY0jDSOWkf5AQbsdH8ppe&#10;wWukDaS3i6VuGkg/JP2IdA7pZtIS0nMkJotkyhgzDMPkJHGM8RHSL0nfJt1GGk8qIYHTpE+S7Ab0&#10;naRK0mGxZAJjp+MB0hDTK8C+f2V6ezCYBANs5QfStYKPhd9HmkgqJl1BeoP0FxL+g5WRpHWkv4sl&#10;h+Mz0v0Q6RekJ8US0+ewMWYYZkCRQM8YPVEYVvQ20fOFcQYw0DoQBxyUrlq2AgO83PQ6CkhU78bl&#10;BenWkI6aXq0xxjr0bLFfNBZeIn2d9GuSnzSFpJhLQqMCvWIAI46GxH/EEpM12BgzDDOgSPCeMQwn&#10;jO9esWTyLelGo0O6sdhEut30OlaR/o/0rFhKjGjnfal0wV3S1Rlu/Cc0Ni4XS2Yv/2nSq2KJyRps&#10;jBmGGVCk+ABXKWmQ6Y3KJOlmEvuwdTQw/K0MbqLo7kUzfQQbY4ZhBhQpGmOGyShsjBmGGVAkYYzR&#10;U9xlehMGT0jjoa900Ncv57dKV4Eh9d6CHvo1JOs1ibXfaPfldWyVrgLHGGV68w82xgzDDCiSMMZ4&#10;vQlPKKOCxNPG0fgX6RkSnlDG08oXkIaSvkKKBl4vqjW9WjAs/m5SvKHxdIHXsD5uegXvlS7uJwO8&#10;/mTlKunGYg9pjukV1xH33KPtF/excU3w9DeMLLaNB17fUkwgbSPhdTTwPunmDblojMU7qsEuPGXP&#10;MAyTXhI0xng6eT8JRhYPN/2ZpANPMFeT8AAVnqLeTKojxQK9Z7z6FKsXdxmpgvRjsZQeYAjVq044&#10;X6uhtxtjjArAoI0m6e5TW40xDOGfTK9jBMluUBCmHiaLtd8Pk24iWV+vwjXFq1+IW48AC1ZjDK4k&#10;XUzqFEt5Rq4a4/Mv+5g5cQQbZYZh0kmCxhgVPV4NQu8YFfzfSDoOkXaSYJS/gAALuklCGknHTa8Y&#10;wsUrRbreLwwciPYOcip8gqT2i9ew0ItX2I0xUJOI4BUr9GzVq1nAaozx6tRHTa8wvNah5vulayXW&#10;fn8jXSu4vr81vRHYjTHSAP/jTrHkcPxMunlBrhrj5Yc+IaZUXHf0EdMoBzoxyQ3DMEzvSMAYo1LH&#10;MOo7SBj6XEb6N8kOeneqYvqAdDET1/WmN+LdXTxpfYbp7QHe/cWxMFkHwOxdah/olafrHWAYQTQw&#10;8OoTDKhqPEwmwQjiP+5DAOGRLsCQMd5ftjJbuqCMBMMKI4x3ltEIQQ84QMJ1VrqEFG+/VnBer5PQ&#10;GJpPwj4eJQEcD8vfFUvmsD4EMFvZ20gusZQn0J+Jaoynrz881B045elrWY2xEr4HbBrlDjbKDMOk&#10;ThL3jBmmz4hljBeEuhphAK1GMdtio8wwTK9gY8zkIvlmjJWUUfb4u34uTzet1PpaDKcnhClfU2JQ&#10;fWCUyxf6q2PsRjyD0YOahsATTncQoy8COtZ/XN7QN+ViVKrqA8td7uAXXJ7Qr5yelt86Z2613vbp&#10;gcsb/IvLE8AkPwkxbMHGKqcv0Ebn9hXsH8eRq3qN0xN4vdrb8pBcxPIXa9z+z8rFxJjQWF7VsAWj&#10;hnqm7xhK1xEjcSlT6w5uqfG2/KSqodk6777DWd8ypcYb+Gd1g/+HdF3+O9QTwnM7jmp3YDryi5LL&#10;HRJz7iOc/uNXKb2+h2XgdPsfk97eQf8Tx6qhfCZDmERJwhhjKDeRVv9MkpqpC0PRN5jemKjpKHVg&#10;Gk48WYx96e47pwpm/rrD9EYwjYRZwKz3jHFsJwkfkgAY8sXwPZMh8tUYK2XIKBegoqMiW0xG6Saq&#10;eJ9TFa+d2rnBwYhbXbcFt4+IptIaj1+UM3Mf3Tg9wRvJOD7vdIeeIoPxYI0n8KPhc/y4xeJw+VoO&#10;Ot0BNYtdBE5v6H7H1JW4DSLOq8oT/Bid05P2/VupbgjdW+MJhR/EhLGX3lgUuLyBZjrHpyn+AQSo&#10;6yDWaqC4l9F/eavSHVwEI0TLeKtDC63roMbEhXRu+7BfGE26Jnc464JTq7wB3GoLUzVv4xg6l+cd&#10;E7aWUzzMdx++nrH+9/B5mydiPe33j6TjVfND5+P8sE63HaXBiZF1IfFRHmp8fBUGFMcT+3CHrPP+&#10;i+2dHr/4HOSIev8cGGT4nd7gvKp5LXgzIwJ1POUi7eHaGTZzYxXi1LibGynON5zeAJ4Z0kP5gP7X&#10;SsqX9P8C36dr/lexbX0g1ps3jJUEjTHmb/4UCZ8eg1GmelILWsMXkmCoXiThgSS04naTYhFtfwD7&#10;UA9B4YGkdCXudBKMMb4stR4BFuwPcKm5sNEoWGx6mUyCPJnPxljp3Nb3CqNcF7pJfe0sZahCpEvS&#10;lMjMcMI4kkF2DavfPIUqZ/EhFHslLCCjTcb2cHV9cClV3t+luPuoUr2KjvVnxHN6/S+REX+k1hvc&#10;icpZbiVw1W2ZS4b1EfhFxesOHSWD8U7qceGLbT0go/K/tQ3B98Bf7QnhYU8BjBP+W60voKbG7QGd&#10;2zUubwuM5LuwHPEfLNQ0hFZXmUasEL118R88TfF66R3VDYFzHaPWDiKDvIF6oLOrPKGtZHyekFHC&#10;YF9ocAyft2EEbfcb+h/+arc/hHVDGpprqIfa7KTjisiSmvota9DzxLmoa+ryBF/BOtrHX8jwhuca&#10;IOO/wOlt+QPi0XGOULy/UYPor7Tfn9ZSA8HlbgnC6On+f039pno65/DzPFX1QR/t/xvwVzc0n+ny&#10;BfHMCXWXNlYhT1TV+S+ihkV4REAxFD1nb6ipevr6oejx0/Feo/TH/AgxwbGpsXQnHfN5ygv/gmhb&#10;XYeH0ZGgMcbHIWCg0ErE8JbuKV/wVRJarupjEsgIyjBHA195Qq9TfQjCjtUYn0WyP+WcKsoYK6zX&#10;QPc0NbiOhP8nCh+TOZAn89kYn9v2PrNnHLpFfUY0ZdBLpQruTeoRtTkbAk+YFXoohN6WjGIBxppE&#10;FSl6XlTZirI6ZOpGJ1WW+GhKNENWUFXfsry6IfgqGdjPV9cFzkOFTdvcjMpfxolKlH1KGkpoXwvl&#10;gsPlCXxDGom4o0s1vsDn8F/oHLZZjyGugafnUHhlQ2g8DJyTGiEySA8ZmRpv6Be4ri6P/1MYVhWN&#10;BTIe1XUht9O9eREaJ/bh/EpP80Knu+WLlCaTaVvxiied24sut38yXat/ikg2YGwp7tPmOQdur2xo&#10;Gm/+F+rZTw0Mo16kehUyDBm1Z3Bs0Qsn6Pr9nPbxPLlPorFB5/ayiChBr5kMOUYpoiKvn/hwz6CZ&#10;TSOrPcEA9WTR0ZIjLmEKqIH2MzrvpKYQrvEG/0358iek32N/dK5vUH79iFzNxCNBY/wd6Sqi9WTV&#10;zFLqSd6zpYunp3X3qDDMYy2QeOoXGdw69GY1xiBWLzoZ7MbYWpB0xlj1yPFkOZ5s7usZwQYUyJP5&#10;aIzTaYSJIqrY/jF43ha8ix8GFV3V/MBMquz2kWH7Yo2vebVcFQY9KeqRaWd3s1W8VJG37HX5QofI&#10;qLyAdTWeIDU6zR449dK+WusL4i2K6IghW9MwxaKm/sJRYv/uUCcd63EYQ6rA/2k/n1ig51Xr2yqG&#10;fKPd95YUVLsD6xFPCb1MGAo65k9lHBjKXXTur5NhxxsKjkr3ptnUs/0qjCuF2z4u01iMxo3ZOGp5&#10;FgYQRh29XGoovZfiv0kNmYhRQJc7eMzlDgTFgjm0/WvER/qJMBsj6vwTnB7/d9Djpmt0B/aJYXYy&#10;vleqWxIU/jERWYJriFGDbpn3pisbms/CvWHcoqCe+c/I8OKTtWgMnacMN+33PeIesqVHbcVZt3Eq&#10;nYMYHodof69hCBrHkVEElZRHab9/q/U0f56O/4w4D4qHWx8yChOPBI0xjJMV9d1fK5hBC19eAtZ3&#10;hdX3j/HKUi6Syr3fWJUAkwYSMcZL2t/f51p19ediGmF34IT1dbXcY+yCChhCuRQXV4O/x1CtDqcc&#10;fu4TqKeMIWG51Hsa1vaY2wANhRHzg/Z6Ly44r2j38e0460MrqKHzLjQaEnzgqUCMhmjON0fRfT6X&#10;iUaCxphh+pRYxjhbwNja3zNWRrih+ZaIJ1wZhmGSgo0xk4vkujHu10Z43oYRcYaAI8CwbbU7qCbp&#10;ySCNxTWeEN52YJj+RxLGGE86itcd4oCZpdRHHzD0sp2EmaVWICAKePoy2hzKuD9r/VBCwu8mpoj1&#10;6UI1oxXmeQbfl+4x6aohvC+SMGymm+7SCj6YYZ22Mtp+Bzy5aowXbb8zK0YY9+vUfVzxZKw3+APc&#10;e3V5gta5y3uAp3+xbXXD1jNlUFRqPP61Lm/gWdrnr6ob/Buq1b1ODbW+oM/lCf0X9ySdnuC2Sg/u&#10;Gfr3Oc37lK+Z59sNHuap8QRfFfcd3aGLXJ6WN5ze4L9r3C0fwENa5Nc+/ARqPcE7a7yBa8krhj1x&#10;fnSeeFhUC8U9Wx2/0r1tHMV9vfsVr+gkc60YJu0kaIzVV4UU0eamxpNz7SQ8HIUpLPFU9ZdJUd/x&#10;I3DPVrx6EYV459Yb8BI8jD3myFYfjVD3kPEOo3ooRb0Hjfti9i8gwcBaP2CBHgXeh0bDBQ9J3E2y&#10;YjXGsfY7oEGezEVjXB88gffe+wzx0JM78CM8lFNd37LE1RB8zuX1P0HG+HUYDuopvl1G1VLjDX4Y&#10;T+DKxejMDQ6GkSdD9j81Pv+eQWcGRsHYojcqY4QhI/08Hf/PtP7vwrhSg4DO41Wnr+VGcl904YEw&#10;Uo3br54hMRsTeILZgyeYA09g34Nnb6l1NDSU4L/oeuJV7tD5cJ2eFmrk4t1qf3uNO/gV8wGh0F+o&#10;N24vW46qus0zcKxaT+jHdF7vcrpbtosHlGY2DZFRopLwtWKYTJCgMVZPFaLAbCFhvmgd+JoQCgie&#10;FMQ7iarnt4D0oOntwT+kiy8nrTG9EWTKGL8hXR1Xk/CRBzt4hxqvAqDljCfE1TeE8TlEVFpNYskE&#10;H8DQPbRm/6ADsO93wJOLxjgb4IEd9BprGoKfIeMmZoUi40WXhowiJujwhtDY1YKnZmEkh5hG9ncy&#10;OCpk7H5ZQT3IwZMvdKEnCqOG2bqE0fcFrW80hHGaxvfXtO0reNI4mjETxphwegM/rfb4/YPnBl1k&#10;JD14FQnheIoZPWfqnYunkdX/hh/GG8cRRpZU7Q3sxXu+WGcHQ+bmE79+YcgV1e6NYjYqudiDZK8V&#10;w6SdBI0xhoTQY1xEwtBVtPjiPUZCGWt8vQizV+E1D7xPbAWfMEQP2go+soB9w2D5EUAgTL3XjHMI&#10;TxbQS8aRVI8fw3/q28I4z11SahKC4ST1Dh+MJl6DQFg0Pi1d9Lrts9ZYXyFIdr8DBuRJNsbSuNRv&#10;noIJN8wnbpuKMCws1rn9kx0zm0qFbJDx+i31Hi23fpqKYIwwNDyifrN65VCAHir1OF9wekN3Od3B&#10;9mp38zoXXgNyt1xDhv8bzobA3/DqiowegdinJ3R/rTd0j3i9J8oUlxGGUEwNGbyAtruaDN+l5P+a&#10;nMkrKtWeLW7so2Lexh4zStlBPPwn2u/TpA61LfX8tSN0yVwrhskY/AAXk4uwMTYRRgQzIRHVDX6z&#10;UUrG1+n1i1GnmvqtDTA6IpyobGgarjPOYRobizHFo25WKvvrQrg3W+Nt+QftP9okP2KyCTLgYnYm&#10;6o1+kHqlqkEeAe3nD6Yb3FlNvVD4rROKYBpH+3lXz8EUkMHnySjeqt6LpeVjuCZQjTv0ao07EDai&#10;1Cv/k3gH1hP6r4pDhvZJq2oaAt8SD6gRvblWDJN22BgzuQgbY4ZhBhRJGGMM5UZ9ujIKGIaOO6wU&#10;B3xMv870ZgzcCxe9DwnuY9nn07bPX23lPukmwmbpKmLtd8DCxphhmAFFEsYYH4rAfVY8RBLrCU48&#10;Gf3/SLhvjOGdi0h4sjjqqwgEXu2J+DqKBet0mPhakvqgfjo5SFJDUdYnu+8lYd5sNbuQGg5UT4li&#10;eG4dCdN44snsaP/BivUBrmj7HfCwMWYYZkCRoDGGodlBwlPDvyBFm4cW7wHiKWq83oSnizeS5pBi&#10;gS+sYP5SGFod9rmpE2k4JMI7SOo1JnyVyX5fCJ+BVHP+YkpPxIextb4igdECPLACo30LAiR40A0f&#10;lMDT4eoYCqsxjrbfAQ8bY4ZhBhQJGmO8foR3htErhlGO9p5xKwmvKMEAfQ4BFsQDHDZgtE6ZXvHU&#10;NAyV/X1DqzGGgU/XxONU14ex9ozBF6RrpUG6+LoUzsn6IfHwR7ot4MMSPzG9EdhfbYq13wELG2OG&#10;YQYUCRhjGFZ8bP/9JMyuhS/B6L7wAWOGXjPAK01gAgkz5wDrR8QRroyQHXwmEce6QSyZQ7iYCQtG&#10;vscEBL0AvXh8jQrvUN9JwqtFAOeJ66EErJP/w3DH+qYyXo1SjZXHSHifGY0O8CMS9olwkMx+BxR0&#10;kdgYMwwzcEjinjHD9BlsjBmGGVCwMWZyETbGDMMMKMgY16PiY7FyTWSM1UxmDMMwDMMwDMMwDMP0&#10;KT5/R4MvePJ93kDX91k2+U9+0xPoPLKg5bbeTujD9APqA7eMcgePz/YGO+ax9HJvOj7bEzpRLS8Z&#10;wzDx8Aa7LsOnEqFzdt5onLfniLGi7UqWRbgmi7aeENfI5+/85+x1x9X3yzNNgdff0U4NpddVGrF6&#10;yuvvfJ0aTc24XuZlywxkZG7SHZ8VW1Rm7LM7MgxjhSr5n6CwbDy827jqbWexEtC5u46alYz/5GJ5&#10;GTMCRirMyqzLWNl22Nh508XGoTsatec0UHXp7UuN7Tc0Gcv3XSWuE67X/OYufDUvrUxf3zXUG+j8&#10;N/bfdOUu7bmw9Lrw8jaRNmjEzmw6Fv0jJQwzUPH5ux5D5XIZVWi6QsSKrg2XtouKv25L12h5OdPK&#10;gi2dm7D/dQcv0R6fpdfy1itFuvi2nPDJS9l7Go8Ve4Nd/z1nx03aY7IS0+Ktt4i0cTiOYb4LhmFA&#10;3ZZjo1EwDpxcoS04rPhasvs6MTwqL2na8DSdHIm0ab56m/a4rNhaSw0YXL/p6w9bP4STMr5g58u4&#10;RaE7Fis5LWzpoB5yl5oAimEYr7/r2bO5pd9rodKff9FNaR0W9fg7X+G06Z0WbT1ueAIdmP2vV3ia&#10;jomG0cFbz9ceh5Wc9h7fIMrMvA3HxPe1GWbAgwLRemKNtsCwEtfZ2282vMHOe+RlTQcFZuW/THs8&#10;VmJC3sZ1xPU0L2tqeAOdjy4IdWqPwUpNuJ6+ED/QxTACVFSX375EW1hYiWtZ61Xogf1KXtZe4w11&#10;hZA2umOxkhOuY0Pz8TPlpU0Jr7/zFX64Mb06b++1uL2j+6AQwww8uMJPj9YdPKh6YGnBEzj5bk6b&#10;9Eg8Xd3LJ969/q7Xdt54kXb/rNS0ev9laS0zDJPXpFrhb9w3Uxtu1aUnFxjBy+dGhJ2/cbJx+M7F&#10;EWF2rd8+zdh7g1u7LleVfmPc9XE2xunRopYOGORGeWlTAsYY9zl1+2elpnSXGYbJa5Kp8A90+IS7&#10;rGmy0XzJ7Ih17ce9EcvQ2WsnGIHL5hqtN3qM9dumizA6pLFo1TgyuOayTuOmDjcOdi3QrlO67NRC&#10;Yex16xJR602eHtvvP+E1rryru6FwmPw7j9RHxImmXDLGoycNjfgfOl16aoEx0+2MCCsfVGy03uyJ&#10;CLNr3NRhIv1163JVuWCMkV914XYhz1mXL7s1/nbY5sq7Y6d3LoqNMcNYSKbCb1w/0Rg5foio7O0q&#10;KHD0iF9aXiRcVBb1Z48SfjqkcD3njQ7Hs2vk+MHCWOjWKWE/0MEus4GQqGCA1bZQ/TnmedWMHCQM&#10;DcJUhTisqtRoapsVsX00ZdsYt1wxTxhgz5Ixxj7bqMLGfTMiliHfsrHGhXtmGEFqLI2eOFSE0WFF&#10;I2XyjMoe8ZXQULqkM/Y133O0QezXfh7xhIYPGmnWUZH91MjD6MoVdywKhzW1zjJ2XZdYIwnKBWNc&#10;WFRgbL+6TrvOqiHDS4WrrjHSxn/pHKPl8LyIeFahITxh+nDtulSEPGBvFGRCbIwZxkKyxljXA4YG&#10;DzUrEaWVzVOMEFWixSWFxoz6GlHBo+dVVFxgDB1RKtTQaBpCu4ZVlRnbr4lecV28d4YwHIVFDtH7&#10;1sVR2nbVfNMw3GhW8Jff1t2jxrlhP/DDPXT7IqOsokgYkYUrxhpjqJGh9hNP2TbGqwNnUPpMoOs+&#10;tYdodz3iFxQ6hIGDzlk3XoSpeFsOzI5aGY+ixljbLdF7z+WDisR+YFTgJmo0x0weKvJGYWGB2E7d&#10;BoH/Imo0FNL5YvmSDp84d+u28ZRNYzx1dpUwqGfMqzbmLKgNa9CQYmPP9Q0RcTfvn2VUuipEw5AO&#10;aRwggzxqwhCRLyfNGEG9ZH0DFcZTjTzphH0pzVtUa1xxZ3fDRifEQ7qht+0cbZ4LpBpXSA8sj5rQ&#10;XT7cS0YbYykN1XIiYmPMMBaSNcYwUOPPGN5DdmOM1jwqEVSqw6vLRVj7LV5j7dZpxpb9kUPcdhVR&#10;L+IcMiy6ddCImjLRo506u1JUCro4EM61qrZCVGiIt8Nm4ItLC40SEvwVg4upxzVTxGu72SOMgjVu&#10;POWCMY7WE6XdRSzPWeASPU40RiaeOcJYsXmyMBgYyYALuc/Vj1yMqCkXjRvdusWrx4ljWW8xWHu0&#10;VuH4Mz1OY97ikSKOtZGHfUyZVRX2W130MFtvSq7HnU1j7Fs2RhuOfGkPg4HGKBMaQi4yghgRGF5d&#10;Zuy8ts5YHTzDmOWNvK2gdNHuM425C2u16yA6fWNT2yxjFeWRkjKzARrLIGM9jDFGKiZR/lANOkis&#10;L3CIRi32hYYZ0iPZ8gKxMWYYC8ka40R7xui91J09UrSsD91u3vcaPKxEDKWiYljpnxIRXwmVhO/8&#10;McYIacB1otM22qg3gApB+GP01BAHPYdSqjiWXjQpHL70wknmtpZ7pGtC00TvAxX+LqqIKsnwTJlT&#10;mdD9uFwwxpXOcqOaelV20e4i4h7o8IqKdvr86vDw5g6q8JEus32uiLh2FVClO5IaN7p1GNGwH0sn&#10;pDHinTG3ypg6p8oIHeoegm2ntMS6ADXmsIx8dAbFqRk1yHCNGWwsuXBiOG6iyqYxnk9lAPnPruHU&#10;oLTGQ+MDIzZIh9lel7H7enNEAQYv3nA/DD5GnXTrIDr9Ho0djC5Z46iRjEFDi4VrH9EYNLREhMMP&#10;9yCdKxqzyEtIIzSurPETERtjhrGQrDFuPjiHWurUarbJboyhyTNGiEKLln71yAqqhLorFSdVrLoh&#10;TNwvPkQ9Jdw3RIvcvn6VpZWuVB9luBs9QLTYcZ8b97SVMd7cPktsh+FY+zao8JdtmiwqfxiJmlEV&#10;ZBj0PUGr8qlnjIoVlf2wEaXhB73U/X30UkdRz9gaXwkNGwxpYyRE90T80EqzQreH24VzjRavqKRA&#10;NNrs4eu2TTOGksGYQz1AjGZEO0ed8qFnvGHHdNGYmjBtmDF26jARBgOHWzl+KnPrab01vlUw7PMW&#10;jTQuj/KwF51+hDFGY9Pak0YjDHHwnMbFe83RIWvZvKTLfM5iVcAsjzhX3GaaTT11lBOEI766FZSo&#10;2BgzjIVkjXEiPWMY37FThlKFbQ6FLZAVkuphqvuRF+46U7hK6O3WnzMyvIz7iPaHhQYPLzGm19WE&#10;lydMGy4qCmscJVTauI8K446hbxhjPDGN+AhXDQl1Xqjwh5FBgX849Yq3XTlfGHIMuVv3q1MuGOPp&#10;9TWikrWLdhcRV90LhCHGrQP8Z+tw8vyzRor7gtZtIAxRK+M9ZVbPh7yQXjhWvJGEJReYoxL2cAzT&#10;lslGgVV4ohjx0QBQ28GNNgRuVz4YYxhElAuMLmAZDZ8Kuh5qPUYQNmtu7+BaT51rDuk3NOpvLdDp&#10;9+gZL1o1NryM+8gIs65XxhjXGMPSuHWh1ivhuRDkCdzPnrugVjTo8PCePV40sTFmGAuZMMZK6vUl&#10;PMgFd8zkYaJwo4e8eOW4iLi4z+gcPTgiDMJDPXgISy2XlhUZuy0FHg+5IKyNjIoKU8I7zegZo1Kr&#10;HTfYWL5lirHKP1XEtwpDbTDY6D0rY4P72jDmGL5TYbGULz1jVPK+88YYB6hRgmUYY7hopMBVD7fZ&#10;K9XmS+aIY6jls1aPN5raIt81FxU3HauouNA47+JJ1Hsqi0g7JYyWIJ73/DFkmCeKnp9r7GARphoQ&#10;DfIpdwgGWhkHxFHD3Gp9PGXTGLvGDjLqqHFjl73RgeF5NGbgx7Wd5el5f1j3xgJGklSjBPd3VTpa&#10;RacfLrfnbpgollstvVi8qoYw5PMDJ3zCj+sNQ49GbKWz5/1t9KLVNmhA7DxSJww28ok9bjSxMWYY&#10;C8lU+LifKO5LUqveLtpVRNwqV3n4QR7ch1Lhk2eOEO60edXUKzUfqMLrQ+eSoVdx7BpMBhFGOdGe&#10;UDaUbWOMRkaiw9SoZNeGpgk/toPrPX+0uJcJv+qdKeHJds/Snr0u9K4XLBsb0RNGGqHRhTyBHrY1&#10;vlXoCVa5KoxaMsLYZmZDjXjQzirEg2G2HhvDtdj3Rbt79tyjKR96xniuAv8VfjysBRcNVjwEaQ2z&#10;Cs892O/9FpcUGHtviGxI0emHBYO+TvPkNe77ivXkIg6MMRrf1m0hZexxv1g9DX5mfY0xncozbjEk&#10;c++YjTHDWEimwo8l+yQd1gejrL0j631jtY3u/mO+KdvGGAYLk3jAANpFu4uIi4pUPVRnXadGNzCc&#10;r554h4HYRb0eFccurMfT8uhx69bngrJpjNFbXb5pSg8NHhp5XxxD8bgXD7/VUOOJd7hIkwt2dt/W&#10;WbxqXPghN7uwjbtxdEIThqSqeA+VJSI2xgxjIV3GeKAr28aYFV3ZNMbnR5mtDPeArctDhpeIWyXw&#10;nzG3OhyO+7HKjyfj4U6YPiLurZPzNna/OZCrYmPMMBa4wk+P2BjnrrJpjFnRxcaYYSxwhZ8esTHO&#10;XbExzk0lXWbecDiuetPhuB1+2grTlxRQ2LfFSgJh0ps0bzkcVaShUbQfx5JRGSYjcIWfHrExzl2x&#10;Mc5NpWKM/0j6mxIZ5s9blyEZNSYUr0V6w9C+3k9n0qATxf89uUUyKsNkBK7w0yM2xrkrNsa5qaTK&#10;DPVOD1HMyWQY28l/mDSGDOhxrKOwf4hIFmj9NFp/D+ldOtG+zpRRBRT2a9ITpJekq/QCXIpfI6My&#10;TEbgCj89YmOcu2JjnJtK1hiPIqP4EBner5P7OET+b1j85KQObdwBl86mmPb1ovQXkf9vdOwzsMww&#10;mYQr/PSIjXHuio1xbirpMkMxK6VXQEbyoPRiXa8KHxnj42R4/0zuH0jPkP8/0kXYn+hYIRmVYTIC&#10;V/jpERvj3BUb49xU0mWGDOPPyDA+adHL1mXaU7mMmjRkbPfD8JI7i/b1XtLTtD/0jHHM/yH/RBmV&#10;YTICV/jpERvj3BUb49xUKsb4dTKWdUpkJE/Zlj8moyYFncEI2n4p7f9PtA/cO7YLQ9WTZHSGyQhc&#10;4adHbIxzV2yMc1MplxnaohyGkwxkeJgakNF8l/TG5T8Ox1zpRa94M2kqaSXt4/cWIyxEx0tbwWaY&#10;aHCFnx6xMc5dsTHOTaVUZshgriJD/AxtVQBjTO4IUg35t5A8Ms4yMqLPxRPFW4D45P+O3A7G+DMk&#10;+5PXyZ0kw6QAV/jpERvj3BUb49xUUmWGDOUVZBifo9gjsExuEYVdJteNIwP9I/iThfZTQPu9EX4Y&#10;4/86HBeTO8UqipPYSTJML8ilCh+f7bN+VOLQbQvDn/iDMIG+7hNxsRRvn+lSfzTG+FQhrh1cFWa9&#10;lpvaZ4nP/anlRBRvn5kQG+PcVK/KDG1VTIZyllxMGexHegW0XCq9Yeg4fullmIyRrQofn2mjwwvh&#10;e7aonMsqio2z14wPf50G33xVlTa+LYzP7Q2tLDXWbzM//2cXviSD/eF7uliOt890Kt+N8fipw8Pp&#10;4Rxjfle6rKJIfMKvsKhALM9bXBv+wP1sr8uY7XMacxa4jGGUJmo/VuHTisMqy8Q+1TWPtc9MiY1x&#10;birdZYZh8pq+qPD3HsOkcmZFb/2EIgTjio+Xo7eK76JubJ1prNg8RXytZuuV3T0m9IphkPGx8303&#10;uo2xU4aJD9JjHQz7gU6vMWV2lbFs05SwMY63z3Qq34yx1VDieqrwFc1TRdjhuxYbhYWmwSwsNOOM&#10;m2J+4g9qoms6aEgxqcRYtGKssfu6+vB2YycPEx+xX799ujDCCFfGONY+M6V8NMbIs7hG8ONzl9uv&#10;ni+k1o+eMNS8rvJLT0iPJReY3wTfeaTeqB0/2LikyxfzG+AoH9uv7v48Zqx9ZkJsjBnGQl8Y43mL&#10;zI/Mr2mZJgyndR2WVYHHd1jplKjnO91wnztaVBStN3Z/Fxkfsz940if8qPQRd8mFE42R480P0UNW&#10;YwzF22e6lG/GuGbUoLAh3LCj+2PzMKT43jH8U2ZXimt33sWTzEbQDe4Ig7D18DzjfMun+oaOKDXO&#10;Wj1ObIP0UeFYVsY43j4zoXw3xuWDiinvDxbXrf6cUcbl8tvHiIPrD2NdXlEc3nZ6XbVo9FRTA/ay&#10;WyO/M640eeYIo4IaU6qsxNtnJsTGmGEs9IUxnr+4VlQkSiocPTP7ECcqbRiDRupZNbXOMgYNLTYO&#10;3aH/SLoaWm2/pdu42o0xlMw+U1W+GeOi4gJjxzXdvSJoRTMeVXH0qMCHV5UZBzq8PYb87UIjB9v7&#10;zh8TEY4wZYyVEt1nOpQvxhijFYVFZhkZUV0eNsZKlTXl4ecmMCq0nhpRqwNn9Lj1Ukz5f9yUYcak&#10;M0cY66gB3Lh+gmj0Yv/Yt2ooWctKvH1mQmyMGcYCCsOhOxq1hSVdQsW/+/p6I3RonqgMEIZKRXev&#10;EYYSxgAVCR6+Qm9Y99CWqljGn9E9XA3pjHGi++yNlrdeaXj9J/8pLmoayLQxxhDzis1Thf+STp+x&#10;iRopdNgehnjx6vHGWqrQ9x83h/zRG4720BbSFKMc2E+0njGUzD7ToYWh3htjT6DjX9tvaNLuP12C&#10;IaRDCT8aKFZjfOmpBWIdyhGW0futHTtI3HoJHporjPjU2VXh+PAfoHRVyyiD6GGjQarC7GUl3j7T&#10;rVXtlxu+wMk3xQVmmIEOKvwDJ5drC0u6NG+R2TMeRr0huAiDaxXCMHS2RT7Mo+5BDhmufzgIw6mT&#10;Z1WGh6vRy8IwaW/22Rst3X294Qt2fIX2nxY8wc7jmTTGB074xFAmHcrYsH26uHcPv9LOa+vEiAN6&#10;sGqbkjJzyN9aySvtOmJeW/hh6BvXTRCVfW/2mS7hOroDp8QrqKniCXb86uIr9mj3ny4tWDZWPD8B&#10;f+Q9Y/O+u/3BxZYr5hnT5lcbZ8ytEtcWjSF1G8eu6pEVYh87LLcEdA3XZPbZW52351pjQaAzpTeS&#10;GKbf4Qt2/n7D5e3awsJKXKjwfVtO+eRl7TX1ga6zsc8r79Yfj5W4cB0X+k9NkJc2JaicPJzJxhGk&#10;Gotbr5wneqXKGGOIGQ/J4baCurUgbr2UmIZ0RoM5ujCiplz0oNX+lDDygf2igaSe2UDjacHyseKp&#10;9lT2mQ4tCHUaPv/J3eICM8xAxxPovByVzBV3nq0tMKz4uoAaM7iG8pKmDexz7/H12mOyEtPFV+xN&#10;S9p4QldXYz+X3nqe9jjp0nkXTRIP111OvWHXmEEiDMtWIWzC9OERtxRcYwaLEQ61bBXiqnXYHkPd&#10;COvNPnur1hNrRbrM23BMzOHBMAzh8Xf8bVHLCe6FpaBLTi0TlYrXf7JJXs604Qmc/CL2feXd3FBK&#10;RYfpuuH6LfB37ZOXtFd4/V0/N9NDfzxWYsL1Q6/YG+i6X15ahmEU3mDXf1HRXH77Em0BYvUUHugR&#10;hjjQ+ai8jGnHE+z811nbbmEDkKRgiBdvO05pc/Jv8lKmBV+g83U0XA/fxQ2kVHTFnecYC+n6Ubq8&#10;Ji8pwzB2PMGuV2FcUNmErvMb+0+uNA7euoxl0f6uVcYFl7eZPS6SJ9hxnbx8maHxWDEZ+3/jWG0d&#10;a7QVHCtSu2++wGwkBbv+7nA0FckrmTZ8ga5/Yv+brtxpXH4HN14T0WW3LzUuvMwsN77AyT/QZSww&#10;rybDMFrcm07N9vi7fuYLdf4DBSc31CWlW9f3ot7Rn73Bk/fIS9Yn+Pwnn7Cew9I91xnL9l3Lkjpv&#10;z5HINPJ3fFZeuozgDnR1eQNdr1mPmStaFOrUhmdbaBzRNWuWl5BhmHzjV+1l336lvfyIXBzQ4OlT&#10;d/Dk133BzqdyQffvnfsfXXg25A113e8JdFwoL9WA5XR7+Z8M7nkyDJNOXt7pqHpl/yAD+tZGR4UM&#10;ZnIEkTbtZWl5QIrpPS+3lu2UaXJcBjEMw/Qe6hH/Rhlj8vMEATnE6baKb6i0+U3QMVgGM1kkXFZI&#10;v9rjGCSDGYZhUuelfaXrrZULdHpv6RlyNZNFjGOOwoi0aSv7s1zFZIlX2sq/FJEm7RU/l6sYhmFS&#10;5+W2QW++3D7oLVW5vNxeIfxyNZNFXmor/2F3uphp9NLe0g1yNdPHPHfAUSbLyD+t7q9bS2fIKAzD&#10;MMlzur3sI6hMXt1XvACuqGD2l3XCPd1WulFGY7KAscdRYqZD+S+F217+m5fby0Xl/9MmR6mMxvQh&#10;p9srXhBpsd8xz0ybCh83XhmG6TUvt1Z8iyr7V+FHhaIqlVfay/90urX8bfAz2YEq+qeQHs/scdSo&#10;tHlxt2OU8LdXpO1jGUzi4NpTufj8C22OkcJPxvh0W1mX8F/Ct3YYhkkDopInyUUmy1BP+G3UUHq7&#10;6a94TaXNi/vKlv6iyTEcfiY7WI2xDGIYhkkPbIxzF7zTymmTO7AxZhgmY7Axzl1Ot5f9mtMmd2Bj&#10;zDBMxmBjnLucbq/4BadN7sDGmGGYjMHGOHc53Vr+Y06b3IGNMcMwGYONce7ySnvZdzhtcgc2xgzD&#10;ZAw2xrnLK/srHue0yR3YGDMMkzHYGOcup1srPo60eWGro1wGMVmEjTHDMBmDjXHu8sq+stulMR4h&#10;g5gswsaYYZiMwcY4d3mlvfQKpM3Pdg8aJYOYLMLGmGGYjMHGOHc53VoeRNr8Zn/ZJBnEZBE2xgzD&#10;ZAw2xrnLi63li5A2r7aXzJFBTBZhY8wwTMZgY5y7vLLNMY4r/9yBjTHDMBlDGWMWK5s63Vr+qi48&#10;F8XGmGGYtKPmP2axsq728r+cbiv/c67rha2OkbL4MAzDMEz/4FcHyq+CMX6hbRAbOYZhGIbJBmyM&#10;GYZhGCbLsDFmGIZhmCzDxphhGIZhsgwbY4ZhGIbJMmyMGYZhGCbLsDFmGIZhmCzDxphhGIZhsgwb&#10;Y4ZhGIbJMmyMGYZhGCbLsDFmGIZhmCzDxphhGIZhsgwbY4ZhGIbJMmyMGYZhGCbLsDFmGIZhmCzD&#10;xphhGIZhsgwbY4ZhGIbJMmyMGYZhGCbLsDFmekvBzKZjQ+b4OypZuSekjUynnGbqyrvK5m04NkL3&#10;H1jZV8PaY4NkUuUUOC/d+eajnm4ffgOM8Xt3LJquW59vamjqHN7QsKdEJhWTKRZsvK3C5+/6w4LQ&#10;SYOV+/L6O39ChrlUJl/O4A0cm6k7X1Zuyhs4uVcmXTYp8AY73qE7v3zW8Z0XGM+3DzdWhI5q1+ez&#10;GpqOjZdpx6QT9+bOVbjA54RuMb7TOt5Aa46Vu3p43wzjrNAJs1A0Hz9TJmPW8flPPIFzunjrYePF&#10;9iHac2fljq7f0UR5qEvkI0dTU5FMxj4FDUpvsOu/C+k87tq1QnuerNzRi/uHGGtbrhV5xhfqeq9M&#10;RiYdeDd1zMOFPbVzjfbis3JXrdt2iUJRt+XYaJmcWYN6WN9Fxf6TNqf2XFm5q7NDx02DTD1UMzX7&#10;jAJf4OSb54Zu1p4XK3f1zdYJoiHnC3Yel2nJ9BYUwiu3B7QXvC/0UlsFKgHju1vLtetjadOZRUZ9&#10;bYFxur2ixzrsc83kwh7h8YTtzqwu0K7LRTVtPaQq0qzhubhzFs7hydbR2nPsC71MeYBOxfhmMPl8&#10;FJhVZNS5CsQ+7Ouwz+WTUstH06ryJx+hZ+oNdN6M9OwrPMGTT6JC151PPuvBzWWiXtOtS1Wn2wcZ&#10;30mhjsykHtg7R9Q9s7dcUyuTlEkVn//4blxM3YXuK503odBYODr5yg6aMqLA+OxFZeHlH+3ozqz0&#10;94yndlcYRQUO4/6N3XHiCdt9f3t6C1KmhTSs23J8rkjULOANdry4cesV2nPrK100jRpmI1PLR2dU&#10;RuajJ7dH5iPkh5LC5PPRt1tyq/KMpbt2rezzRh2O9/XWydrzyRehAbduSqHxi1azzqgodhgFlPYz&#10;4jToayocIo8UU75KRIVUjyH+z6hO0+0vW1rectRwB7u+JxKUSR1vqOvngW0HtRc5k0JGRKaCsaTT&#10;EH6dSikTfjMUvULDtnY97jfjw4/9K/8T2xKrGK3bJaraQeaxh5Y6tOszLdzD8QW6HqJzyAqoVL/R&#10;Okl7bpmUi667yit0GhF5x6ryIofxtUB0Q4pt7Xposz4ffStGfrTKul0soTIvlhUthFGZK7zFxi9l&#10;5d6XQjq6A13T6Twyjtd/sgnH051HtjS0RKV9ZF4ZUWaG/2hHzzS5emGxyIdft4zI7K0rNh627aO3&#10;umZhidF0ZpF2XTb1wT2Lsj4y1y9YEOr863t3n6O9yJmUc1CB0VZfbFy7qCSm6BSNLzfrK7/WuiJj&#10;pWX48Iazio1hFmOIbZ/fZxYeDPG8kGDlhu1+YOkZxZMaZlf6v2B6C2Ei2r6tDUOMf6fjZwUUxufa&#10;R2jPLZNKJh99sUmfLkcXFxuLLCMzJ5eUCOOtlrHt03tSy0eJNAA/vK4snHfQA1J+6OndiefDdEg8&#10;zOU/uZiOnXEWBLremWvGeOP0ovC1R1oj7O7zS8Uyerv2+BDWPbWrZ55AuD3Mqhep3nhub4XIT9E0&#10;mBoHXw+YeSBXjTEe6GJjnAa8/q7XHt43U3uRMylUookM4dEpasPV/cG1UwqFi+WRgx2Gb1ShUT+y&#10;gAx1sQiHC6mW7bcSPGYyw5HLJprngCFzuOdOSG2otDc6tKMlqwUiW5Vqb/MRKlysw7MHcJGPxg9z&#10;GN44+eir/vj5A/E+dWGpdp1VVmOswsYONfPS/obiiLiZ1tniCf2uRjp2xvEEuj6ea8YYgtGl0zM+&#10;ss5MOzVq8aAcKbEKHYK1U/UGcs2UIuPms0u065SGUOcBHYgR5bGFuLlqjCE2xmkgX42xc5DDeEz2&#10;mKdXFVDr0azQ1HrVW0XlqsISER4Ew3bJVIKFFF8dGy6kWtV9JTbG+vVKdIracDTgvthkbo97fF+1&#10;5SPV6HspxXwUmhW/8tQZ4wvPMBsHwQS2T6fYGA8ybjnHHEmBVK8YzwvY46FnG623rITbVncti90g&#10;0z18CmH/1mU2xv2cbBpjPFiFVmcs0Slqt1fDQj/fW0GZtFjcW779vO5Mv21OkTHXVWjMpAr28QR6&#10;MUoY6l46wawIdevtwjAT4k6gngyWMbyJ5S839+1Q9UA2xr3JRz/Z2Z2PjiwqFg/fdJ3bnY/a64uM&#10;lZOLjFk1BcYjW5LLR2ePNUdMdOutshrjn1C+vu+C7mHRZ+m8dNtkSmyMTaE+oVMM69ua5wQwSvID&#10;y4Oe810FwpDbjWsZ7WvxmMKoDTrk39b64h5CvsUtGBWPjXE/Jx97xl/aVBbujQ4pcRhvo5Yn7q2o&#10;9Wro8UlZUGqp9/PJCxOrSKeMcBgPbCwzxpFxfXpP/PNbMNocTlS9KzzRi+XZVHnb42ZS3DPWr1ei&#10;U+wR9g2qYFU+Qv75wJrSHj0grPt/8nUS9KI/SHGs66MJ+Qi3OiaPiJ+PrMbYKlTGz+6N/9/SKTbG&#10;prrO7e4dIx3s66dVRj6wBSHu9Yv1w9LIO1iPUTzcC7auwzC17u0NxP+h5YExNsb9nHwdpkarFC4e&#10;0EKF+rJlWBgFBfcA1TKE/XwpygM8SsqIw//5i8vE+8v2OHYhPoTzUFJh0YafMiE2xvr1SnSK2nB1&#10;Pw7php6oNR9NHOYw1tjuB2I/aKxZw+xS+Qj7epR60/HykW6Yus5l9qqhvsxHbIxN0elFyDrS1Tiu&#10;MDyiovS/G0pFD9caZhfqFLsBh2IZY+RLtczGuJ+TTWN8ammJcS/1NGKJTlG7PfTTXeYrIereClqc&#10;1RUOY+/8nvd7VUs31j3k8ycURmR2DFXFeqoak5Rgn9H0hTjGP50ayMa4t/kItzxQkdrzke5+L0Zh&#10;sK9YEzogH11wRve2GKaMNaGNzhhDKkz1zPtCbIwHGW115ugWXr9cO8X0Q7q4SqiH7JPNNESZjMgu&#10;NsaMIJvG+F0rS43PXFQWU3SK2u2PnlVizLP0ODAsjKHGWPfYyoq6H/qyCxWw/Vh4vxlh0QrUXKc5&#10;RB2aXSQKihImkED4qMGxC3A6NZCNcW/yERppMy23FOa5CoxBcfIRnoB9dIs+H8Gg41jWHna8fKQz&#10;xphAQoX15X3jgW6M1agGpHq/avm+C/SNa7xnjOcD7OFoRI0bhnSPDLdL7V+no2fxPeMBQz4OU79v&#10;dZl44OapXeWid4wwPPSi1qPX8lNap5ZvObvnQxVWobeMoW41WYhVvtGF4qEeXY8a5wbZJ2d4dk/f&#10;D1XzMLV+vRKdYo+wD5ERhKHDQ3iJ5KMbqAEYLx9hNEVnqJGP0HvS5aNo94yhvp6WdaAbY4xq0KmJ&#10;BrUKa5ltvt4G2dMfjXjMjGUNs2rLzGJjzZTYrzqik2B9ECya2BinyJsOxyfecDh+D/9bDkc1nWkR&#10;hf2L3AKEkTsCbirQ/kKkNTrRMV4it0JGjUu+3jOGZlPPVPVA8F6mtaDAuP5in7l/ZRx1TzNiG1Sg&#10;n4nxgBdeT8D2z1kepkHhwdAmCpI1rhIeBML6L22K/x/TITbG+vVKdIracMg7qiDcoJo4PHJ+auSN&#10;Z+UDWCof2R/AgZCP0Gj70Nro+WiYfEfZ/kDXL1vNCtkqjPJ8OsGHDtOpgW6MUWYh+z1hVZ5x31eF&#10;obGGMOsrSMg7v9hXYTxDeQX3kTfPMIe5P5WGtGRjnCJkFP9D+grpAannSF8kfUmFyahJQ9ueJINb&#10;phM1AH4joyVEtowxKpt5ZEw9owpjik4x4r6JEl4zQUFQy+h5fGx9d6+mo7Ek4ilItG6ts3NB2C+M&#10;9ve29dy/XS45jyyehvx/CU6r2ZcaqMZ4OKVpovkIoyn27R9pLovo2ZwzrjA82QP0zuWlEfloX535&#10;yolahlD5JpuPJo9w5GQ+4nvGiYv+Qg8hL6FR5qY892GZjzrl8yr27RPRPatKjad3V4gRnEsaitgY&#10;JwsZxCfozMS3Qcn/E9JhWp4ol0+rdalCxvjDtI+zyH0HGeCz4bcsJ1WQsmWM0fpPtEdjn9/3PZRB&#10;Ef5/lgcmNpxRZGyfE/ngFuLYl9W+LjijUNwftK6Pp+sWl4jXpLIxZ3A8DVRj3Jt89LmLzXz0Vcvt&#10;iV3zirVP4tuXfyx7Tv6ZeJ89+XxURUY5F/MRG+PEtZXqG9y6sD4fEE3xJgeJJbyC55Jz33/6or4f&#10;LUlEOWuMARnGJ0l/teg15aezTurEKbIY2lbQPjoorBx+Mu5iPmJaHkH+b5JLjfTEyZYxZqVXA9UY&#10;s9IrNsasVJTTxph6qCvV0LHU5cpPZx0+cVreT1pPWh1NiE/u2XITGOPjZHj/TPoOhV9D7m+l+5Q0&#10;yA0yalzYGPcPsTFmpUNsjFmpKKeNMRnMF6VXQMbyoPT2GtrXDhhj+Mk9Tcd6mq5EJYUfIP8d5BdD&#10;4onAxrh/iI0xKx1iY8xKRblujP9t0Zuk/9rCyHYmD210BmkBGeEXyb2WdI1VtN/HyZ0go8eFjXH/&#10;EBtjVjrExpiVinLaGCvIME4jw/ksuRE9Y1o+Jr1JQfvaQ9uOIa0kw/tOcmGQw6IrktRFYWPcP8TG&#10;mJUOsTFmpaKcNsZ0ZiUYQiYD6ccyuQdJaylsCxnRT5D/DBExSWj7n8Gl7WGM/0n6u1VsjAem2Biz&#10;0iE2xqxUlLPGmAzm38lYXiwXYTirSIflIpY90psU9G+LaNsF8JO7ko7zPTLAj1vFxnhgio1xcsI7&#10;6Q9uys3XRLIpNsasVJSzxjif6K/GGPPBnientvvw2u5JHKAf7+j+dN6nL4xcB2EdvktsD89lsTFO&#10;TnTKQrp1ViEfXTjNzEfvXRWZVzAZg8pH1glnlLDOOjFNPoiNcXp0mcecQvMKb+TcB3i3XH0r+eSS&#10;np9bxGRIsabXzFWxMU4D/dEY/3hn5NeU3rE8sqJE2PkTi4wL5LeHrV9mOrPa3MY6xV0+iI1xcqJT&#10;FtKtU0o0HwVmmRWv9etKKh/l4sQescTGuHdCeqsGGtRW33MioqkjCoxji81ZufCJTbVuiew8PL0n&#10;v/IMxMY4DeSrMcYcsJgbVjdxP/0to5han7WDza8nWSvRhzaZk/KrWZvgv3e1uf7tFA/LD22OP6NT&#10;romNcXKiUxaCX+UlXRzkI8x7Dr81H309aOYjfJFJxX37MnM94mH5gY35l4/YGPdOmBEOoyGTyODS&#10;X4wwxqirEPagrF/gb60zZ3t7mIwylj+wJj9vnbAxTgP5ZozRY7W2PCF8d9RqlFXLcoosENZKFN8Y&#10;Rti3LJUoJnFHZQz/ysm5OfdrPLExTk50ykJLxpt5RMmaj9SUl/jEItZZ89FX/Gav+f8C3fnoo+sp&#10;H8kK97wJ+ZmP2BhHF745TKctpPKJb5SZN9SHIJ6Q840vHGP2cnU9Y/Wdc/iPLDK/BAY/6itr3HwS&#10;G+M0kG/GGHNQ457KxdOLjBONJWHDfGxxZKaHdMYYQhi+Rdw4ziwwmIQd92p6M39stsXGODnRKYeF&#10;3ozyu0f2rBB1xhhCGPLR8on9Jx+xMY6tScPNvBCaVSRGVODXpXcsY4zOw4655i2yJ7ZVGCPlvNPW&#10;ePkmNsZpIN/vGasPx3tG9vxmaDRjjBYuvuCESvh75Ff3avAhge9Ry/aAu9hQn83LF7ExTk50yuE0&#10;xzI+Y6jC7HGjGWN8A1nlI1Sq1nz0ox1mPvrZ7vzKR2yM44tOXWjCcNN9rLlnGkczxshnleVmnvkK&#10;bbdtjmmUv9NSLr4id6mn2PjJzvzKMxAb4zSQj8b4MxeVhp9IVJpZk7gxtuqLTeb9vXvXlBkL5JCT&#10;6im9Z2XPpx1zVWyMkxOdspAuzP6pxWjG2Cp80hNx3r2yzFgme8oqH922NH/yERvj+Jpfa6YvhHpI&#10;FyeaMbbqqV3mrY7rF5cY+xtMo6zyDHrOum1yVWyM00C+GWPvSLNixEMSqyYXic+YYTkVY6zu1Ywf&#10;ag5Nwr+YChH8Q6jHg2Vr/FwWG+PkRKfcI31VmP2TePGMcax8VEW9ICxb4+ey2BjH16jBZpoqWZ8z&#10;UIpnjPHKHNaXk/HFMr6BPLzM9E+UQ+HW+LkuNsZpwBPo+Nen9jRoL3AuSt0jVhXmg5vMnm0qxhj3&#10;brBeLcO/cbrZInUOyq8CsXvbXsMX7HyLzjkroDC+0D5Ue265KDploZ9S7wTLP9zR/RqTPW48Y2y/&#10;5wf/avkgYL7lIzLEhsffcQ6dc8bx+Ds/lm/G+KsBcwQEPdhq2dC6ekFPgxvPGE+rNLdV9Rj8E4aZ&#10;+UTVW9b4uazTJDbGaYAKxCsdO9ZrL3IuSlVuG6cXGldRIYAfshrjYuo1q3CrPrime7jQP8scFrJ+&#10;mL5EDn3jiW2466bmz1DRlq2XGd5A5/fpvLMCCuOPW13ac8tF0Slr1W6pPO23QpTeu6o7H22XD+JY&#10;89GgEjOeykcLRvdsKOaqkI51W47PpfPOOO4tnZfmmzFWeQLPCOCZAfgh9WqcauDbdc3C7nx1aon5&#10;jvEjllcoR8nXMJFn0FvGfWW1Ltf1rX0T2BinA09zx+fzqUDgAQg8TU2nLp5ivGdVqXBnWYwx1uv0&#10;wTVmzwYP12D7K32R9/JQuLAvrMu3mZOQhp5A5yakaTbw+Ttef+eupdpzy0UhnTedWWQsHtt9/2+C&#10;HGZWQh7Q5aN3yh7y07v7Vz76WVu1WamuPFBG594n4HjPtFVpzyfX1LXErGtw60GFjRlSIMIunGY2&#10;3LFOl2dUI089gW1v6FvrNeSZfJp0qGXrgayOyvUrUCC+tm+y9kKzcl/v2bXErEQb9pTIJO1zPMET&#10;78I54F6Y7hxZua/VoesMt7/rNZmkfYLH3/G3zVsv154PK/eF8o5y7w6eWieTlOkN3kDnt3BBf9mW&#10;P/f8WKZ+2T7M7BUHO4/L5MwadA5vrAgdZYOch7phx8UiH81ed7xWJmefMH9Txzwc97N752vPi5W7&#10;QjlfErrJ8AVOvimTk0kH3kDX71Aovrh3FlemeSCk0T27zhUVKDWmnpbJmHUwXIVz+nnbcO15s3JL&#10;eIBoQ+hqmY+6zpbJ2Kd4Qh0ncPy92/Zw3ZMneratkvJMlxyebiqSScmkC5+/6wuqMoXwUNCObe2s&#10;HJJ/66UibSCklS/UdUImX87g83f8Q50jpPsfrOyqMXRLdz6ins2ZF94ySiZfVkAP2Vr3LAp1aM+b&#10;lV2p9BH5prnjzzL5mEzh9nde5Amc/JU32PXffqFQ1xve4Cn9ujzUgkDnj+oDx7PSi0kGb7DjA75g&#10;1390/yGv1M/yjxI1vh8bu+CyCplcOcH4NVdXevwnHtGdbz7q3AMffEsXnt/qvFUmF8Mkx8rrHv79&#10;yiOP/FwuMkxScP5hUmX10UeNVdc9dIFcZJiBy8ojDzahQEArjzw2RQYzTEJw/mFSZfX1jz6h8o4M&#10;YpiBiyoMXCiYVOD8w6TCzGP3lVrzzarrH/mkXMUwA48V1z78WWuBELr+0Q1yNcPEhPMPkyq4taHy&#10;zKrrH34LbuPl99fI1QwzsBAF4bqH/x0uFNc9IvxyNcPEhPMPkworrntkPfLJyiOPnBD55uiXD8Ig&#10;rzzy8H9kFIYZOFAl+hQKwtJLPl8LF1py5EtTRCG5/uGPymgMo4XzD5MqZITfhPGFH/kFxnj5kYc+&#10;I/LOdY/WiUgMM1BYdv3DbSuuf2Qf/KoyhX/ldQ+/f+m1D9bDzzDR4PzDpMqqax/6/tLLHhgDP/IN&#10;jLEIv/6R3009cFefzfvNMDmHtTJlmGTh/MOkitUYM8yAhytTpjdw/mFShY0xw1jgypTpDZx/mFRh&#10;Y8wwFrgyZXoD5x8mVdgYM4wFrkyZ3sD5h0kVNsYMY4ErU6Y3cP5hUoWNMcNY4MqU6Q2cf5hUYWPM&#10;MBa4MmV6A+cfJlXYGDOMBa5Mmd7A+YdJFTbGDGOBK1OmN3D+YVKFjTHDWODKlOkNnH+YVGFjzDAW&#10;uDJlegPnHyZV2BgzjAWuTJnewPmHSRU2xgxjQVWmLBaL1ddiY8wwkpVHHv6UrpCwWIkKFaounMWK&#10;pxWXPjhKVkUMwzBMqqBC5d4NwzAMw2QRNsYMwzAMk2XYGDMMwzBMlmFjzDAMwzBZho0xwzAMw2QZ&#10;NsYMwzAMk2XYGDMMwzBMlmFjzDAMwzBZho0xwzAMw2QZNsYMwzAMk2XYGDMMwzBMlmFjzDAMwzBZ&#10;ho0xwzAMw2QZNsYMwzAMk2XYGDMMwzBMlmFjzDAMwzBZho0xwzAMw2QZNsYMwzAMk2XYGDMMwzA5&#10;gzfYud8X7HhgoAnGuPHAh36qW9ef5Q10HXU07CmRyc8wDMNkE0+w69UFoZPGQNWSSz5iLN71du26&#10;gSBfsOs/05qP1cjswDAMw/Q13lDnG6iQ1x19yNhw42OsAab1NzxqLNx+pzDK8zcenymzBcMwDNNX&#10;+AJdf0ElvP6GL2sratbA0Tl73y0MssPRVCSzB8MwDJNp3IGu9aJHfOwRbeXMGnhCfvAGTn5EZhGG&#10;YRgm03j9nT9ZuPUObaXMGpg67+BHZO+YYRiG6RM8wa4/nX/Zx7SVMmtgat3Rh9kYMwzD9CVef9dr&#10;q67+nLZSZg1csTFmGIbpQ9gYs3RiY8wwDNOHsDFm6cTGmGEYpg9hY8zSiY0xwzBMH5Lrxnjh1lPa&#10;8Hha0naPNjwRjZ1znjY8XcK5Ldp6m3ZdroiNMcMwTB+S68b47N1vg1EwikrKElZBYbHY5qztsV/Z&#10;ck1bYIyccXZ4uWJErdgOWnbpRyPi6qTipqpVV39Wu99cEBtjhmGYPiTXjfG5re8WhgvTdNqF8PMO&#10;fLBH+CTvBWJdvBnFSgePMByFRca5+94dEV5AYdbldGtIzThj1vJ92nW5IjbGDMMwfUi+GGPdOoTr&#10;erCTF1wUdRul8y/9iIiDd2rt6waNGGksaX9/j/BUNeO8Hcb5l3wwvAxjPHtlW0ScXBMbY4ZhmD5k&#10;oBpj9IpnLtujXbf62vuNgoJC7TqrZq/YJ4bFS8qHxBTOBZq75qDYjo0xwzAME0G+GGMYTrsQfsbZ&#10;zT3Cq8bPFut0+4M8m28Q62MNYzunuI1BVaO166xac+QLPYbJo0kdj40xwzAME0G+GGMYULsQPnfd&#10;pT3Ca6ctiGmMHY4CY+WVn9aus6p00HCjbGi1dp1VK664TxsONe57V48wNsYMwzBMBANtmLp8WI2x&#10;qCXydamyIVVGcdlgY+VVkU83oydbXD5YPNAV6+nqkoqhYnu4duE8HLYhbzbGDMMwTAQDyRiPGD3N&#10;qLvgyh7hiLto663G+mOP9lgHDXFOEHEKi0qMyQs39lhfNqTSWBA4Yay59oEewnZn7bgzIj4bY4Zh&#10;GCaCgWKMK8fNNM7Z846IMEi9BmUPtwtD0aNnn2usvf7BHutgjBdv00/igX3bX51iY8wwDMNEkOvG&#10;2L3pmDBohUXFPYRwTPDRI7ygMCEDCyHe0v2RrzGhl4wHrqxhscTGmGEYhukVuW6M5645ENWwIjzV&#10;V5sgPDFdOmhEj3DcK8Z9YjwpbV+nU+mgYTGNsX3qSzbGDMMwTAS5bowh3dAwRKcf88GqWMJ/xvZr&#10;o/SAV19D6wsKjHXHHtGutwrxhjonGJVjZ2pVM6k+Ij4bY4ZhGCaCfDDG0USnn7IxxqQeS/ffq12n&#10;NK0xaOChLd06q+asajeWX/6/2nU6sTFmGIZhIhiIxriwpMxY0va+HuFn7367MWXhRmNw1WjxWhIM&#10;MY4xeuY5PeL2RmyMGYZhmAgGmjEeXD1G3A/GxB/Y3q6J7rXGeZd8UEyJifhTFm0S4etv0L/2lIhq&#10;py8yzly63Th719uE8F4zG2OGYRgmTL4bY/uTyvGEzxZiuyX732+svOozxtrrvqSNZxXiJzJjVzSt&#10;ufYLxorDnzLmrb1U7As675IPaePmitgYMwzD9CH5bIyrJ8yN+nBXLCXz2hKUyENciWpJ+3sTagBk&#10;W2yMGYZh+pB8NsaszImNMcMwTB/CxpilExtjJqd4w+F4lnKkwWLlkt50OP4ls2iv8QU7f3/+wY9o&#10;K2TWwNTaow+yMWZyC3slyGLlimQW7TU+/8knFoRu1VbKrIGpc9vex8aYyS3SXfExTG+hXvHj6cyT&#10;7k3HZ6PiTeVBKFb/FPKDL9h5XGYRhsk+bIyZXCPdxhh4/V0voQLecMOXtZUza+Bo8Y67Va+4wMwd&#10;DJMDoNJLd8XHML0hE8YY+Pwd/0AlvOLQfdpKmtW/hZGRhS23CkPc0HysRmYLhskN2BgzuUamjDHw&#10;BjvvRmUcVsspVn9XCJLpHex4rmHPu0tkdmCY3CEJY7xBuuCbpDNMb0yWkf4fqUEsRedlUjJDRptJ&#10;T5FGiqWe/Fq6YD1phell8oFMGmOFb8vxWt/mjomsgaG6LV2jGxr2sBFmcpcEjPGXpXuA9DPT6zhC&#10;mm16I/gQyUsaRXqNVEqCkU2kYoWBj8VEkptURSonDSb9jqQDx1bMJK0h/Q/JbryfJz1C+qNYcjh+&#10;TxpHelQsMVmhL4wxwzBMToFKL0bF9wFSl+l1rCUVml7HVaRovdJ5pEEk7PMHpO+RQiQdPyXNML2O&#10;MhJ60tFAq/Yy0mmSCwHEg9K182fpotFwlhT2b+cX0v2rdL8h3fnSZbIAG2OGYQYcqPSiVHwLSF8g&#10;obcIo4aeazUJwBifInWIpUiuI1WSfiOWHI53ktCb1fGCdBUfJa00vT0YQbIPZd8rXcX5pMdIMNg4&#10;13rSx0j4D38j2XmahGF0DJODVun+ivRb0iSxxPQpbIwZhhlwxDDGiq0kDDufQ4KBc5JgnDFUrOPH&#10;pA+T3iD9gfQ6ScczpCLTK3q8CvRqMWxsfdrxHaTrSRhWxj7rSACNBR2Ih96wAj311aY3gl9KFw2H&#10;ZtPrWEK6wfQy2YCNMcMwA44EjPHFpP+QhpHOJsFQoWcczRir4WAMUYMK6VqBsVaG+O2kQ6Y3KrUk&#10;3DMGP5EusA9Tw+iil4vh773SfZX0XtIxkp+Ee80KNBy+SMI95qGka0jo1cNlsgQbY4ZhBhwJGGP0&#10;Hv9NmiqWzN7xHaY3JtHu51rBfeAXTa/jalKsYeG/kL5FQjyF/RgPkGDkvy+WHI5LpAsapWvlsHTV&#10;A19nkjCkzZMBZBE2xgzDDDgSMMbgJRIMH3rH4Esk3QNRVj4l3VjACMJ4wtDjXjPOYywpETB0Hs3g&#10;q/vVMPYqzirpKjBsjd6wh6T+P875CRJeh2KyBBtjhmEGHKj0YlR8GEK291YxhPtfUrFYis4t0o0G&#10;hov/QTqXNAQBBHrd001vTNAQwDnbDSzYTrrT9Apw7xn3vfE0uBUMuQOcB9bhKXDVI8Y9azQU8DQ5&#10;08ewMWYYZsCBSi+Fig/3XuMxXrqZAk9XJwruccdrPNhJNj6TJtgYMwwz4EjRGDNMxmBjzDDMgION&#10;MZNrsDFmGGbAwcaYyTXYGDMMM+BIwhifICU70Tpm6UoXY6TbF6iHuxR4fxmzefUW7Nd6vz3efjdJ&#10;NxEmS1exTbp5BxtjhmEGHEkYY0z8oSbqiIV1xi1MdwkDHm2CEIV1Ig8deNr5VtObcTaS8LS4FUwF&#10;ilnH8OELgDiKo9KNB14HA5jf+++mN+p+8doWUF+bwqQn0cDMaHiv2ieWTB6W7oXStU8bmtPkojH2&#10;BTu2eVpumiUXGYZh0kuCxjhAQi9uDwnzPg8n6UAvDzNvYWYrzHiFuZ/BbST1jrKOeMd/H8luIDOJ&#10;+tCEAsYMPU18HKMTARYSmQAFvCJdgEYKXs+Ktl+8G42RALxuhY9YKGMdDZyD1RiraT7V3OHqwxp5&#10;Qa4aY3wPlw0ywzAZAZVenIpvJwnzPCtjind78REJHXiFCDNk4f3c0aQ/kWB4riVFAwYeU27GApNw&#10;qC8rpQt8SQoGEJ9WtH+b2W6MP0HCMD0MqJqJTGE3xmi0fJV0EekeBEgWktR7zG9JN9Z+Ef+k6RXg&#10;E5b4ZCQmRbmS9COSwm6M8fEL0ESK9753zpHLxlgY5C1skBmGSTMJGGN8TvA80vtJmPcZRgA9Njtq&#10;KBqfQcR8zwAfcsAc0bHA9JPfMb1RwTvLiKO+GpUOrP8ZH7WwYjfGaCygkfEusRSJ3RijVzrX9IpR&#10;AvvQPj7TqD4/GW2/MOhoKKDBsBwBEhjnaaRPi6Vu7MYY26NBBIOuPnuZN+SyMW7c9x42yAzDpB9U&#10;enEqPhhj6ycQ8YlDzOGsA0OuGKLGsCoeVMJHF9Dr+zVJB4a7P0jCxyTg6oAhvo/0XRJm60onLaSn&#10;SPb/bzfGAOeB/7WIhAYJ7oXD6L1NupACcTGtJub0tt4vP0iyV+L2/QJ8BhLgWsNge8WSCT4FqWYs&#10;U9iNsQKGHPvEZyzzhlw2xhtufCxskL2B4zPlaoZhmN6BSi9OxYfhVgw1o2eK4VEMW0d7AhgGE0YJ&#10;RtlqdGaTMAe0HXz8QfXcYIzxNSc775Euhng/b3rTwrMkdWz7/9cZY/wnPBCFr0dZv8Ns7xn/gqRm&#10;B0PP2GqMdU9HR9sv0I0qYB9oAFjRGWMMvwPcl8YUobEeAsspct0Ys0FmGCbtoNKLU/GhV2U3KOtM&#10;bw8wrzSMNXq6MJ4YZgV4gMsOeqT2KS3Rg8Z81dZ7uNavNKWrgkYv1DqvNfaL7zQr7MZYfW8ZPVX0&#10;ZK09fbsxtp4jHmBTvdjHpQuU4Yy1Xx1qruwvk6zGVWeM1Qc30Ji5goRRirwgH4yxMMh72SAzDJMm&#10;UOnFqfjwJSNU9viqEt6TxVPB1g/3K/DtYGUAPiLdn0sXPWlrbw6v8+hek0JPFcd5Bwnb7COpB7eu&#10;J+E8rca5N/wfCeeMB6d+RlJPHKN3jwes1KcdAe7TKv6XtMH0Cuw9/l0kfOVqh/RfSgJkY8T5K4FY&#10;+7WDh7LU16ieIWEIHB/BwDX6Fwn33tW7xtYeNRoBPzS9+UE8Y+wOnPL0tTyBjhvsxpgNMsMwaQOV&#10;XqyKTwO+cqT73u8E6UYj3rvGDCOIZ4xh/LIluzFmg8wwTFpIwRgzTEZJxBivuvpzWsOYLbFBZhim&#10;V7AxZnKNfDTGEBtkhmFSho0xk2vkqzGGMmmQa+Y3n+HyhN5wTGhM+ZaP0x18qqYh+Bm52IMaT+i3&#10;0gsK6Xj/ra7bggl8ouKcuXUkxTvh8oaecfla/ury+h+Uq7RUujePq3GH/hVvv1aqPSG30x26i47z&#10;HOnvtJyeZ0foWoprOnVleIbAWl9L0vWh0+2/yOFojPoNdKcn8FWnJ/RuuZg01e7A9Bq3/21OT9D6&#10;IKjA5Ql8v8YT/LHTG/g3rcczLwKXN/gb/Belqnkbxfz+FO+lmobAT63Xv2Z+qFF6ewXlr+85vcF/&#10;ykUmGVDpxar4GKavyWdjDGXKIFfVb1qQiKGgSvgbVCm/4HKH/or4tIxXCAXV7uBNun3UeFv+MHyO&#10;vxLryHD8DIYf4SLu2I14OyKCWk/wDqfX/5LT17KdDOsvXd7AQ9XTdwx1NbTslfuPO9lMjTeENydi&#10;UjWvZQwZm6/WeAKbhnuDk2rnBl0ud+Cduv+gIENzqsYbxFsdCWHfF5ZF44IMv2Pehog3Pui/vkqN&#10;jl8jDjVcdqPhQf/9eQq7z3qd7ZAhvpr+x4fkIvazg/7/L2i7t1y+oJpLXkDhvyej9nWx0LB2EKXH&#10;6yPq/BPovw/GcSsnN4WnI66pD2wiIx1+M8TlCf69cl6LeK2Uzkf3iqb8f4FdZDRvwjLOX6yIoLG4&#10;1hu8J1YDQwf+T28aiwMayoWJGmPMST3O9MZEPUENfiXdeOAdWx2YDAP7wFPHh0jp+uABnqDGhy90&#10;4H1n+zp8iEG9VgTsrzMxaSTfjTHUuPfdaTfIVEE/QL3Dw1UNzV6qSL9LBtSaJ7uZsLW8xh34KCpx&#10;GeKgihXGqajWF9xGhu1RM9QElbOTDMzguReSoQv+tbrBH36qH+uktweiRwnXS8bSHXqclp90eshA&#10;07KIoAH7g4GFf+jczdNoW/tscj2o8m2eQT2/D5NxwauCBfgPsc6LKKBz+S9dryvIOH0SjROEmat6&#10;ovZF1+s1GFQsu+r9c4a7/ZMdM5si5oWnBs5z6NnX+kLfpv86H+fi8rUcrPH4P1xVH7DOlhcBNY4+&#10;Run1D5e3ha4zNSjoWlHv3k9p8SG6BpHzCZjpF55zgM7pdRyX3Dft/5saHZfRf8REQAL6z3+kc8HH&#10;Y7TGeNjMjVV0POox03l7Q/dWNvgXV9VtniFXR1DjDn4bx3S6W7ajYYIGgVzVA0r/SylvPkaNjo87&#10;vS0vwShTnqJ6NDljPqChlE3EGOOCnm96xVeCYoHho7tImLpSfSgCryel+qEIZErV0sKEGulqdanX&#10;hHTYMzEqPVRmeP0JDZKIAsqkl/5gjKF0GWSq2H5NlflrqIghqvC+QxVfCJW6jNIDVOBUKT9CleS/&#10;qKf4LTLe99A2bcKQeYNqIh0Her1khA7Q+t/TMf6I/Ve7Az9SQ5pYrvQ0L7T3EIE8l/9HxuAVOsdO&#10;p6dpZC319qo9W9wySgRk6DvIeOAVvDDUC/wJGSTMz66FeuB3kgHbi2Fa58wm8c4+nedKHFtEsFA5&#10;a/M4WncH/ffn0VAgo/MQGbE/ibjT1w+V0cLgOsI4Yj2GeRGG42CZtv85XZePi4gWaN9PYzgY11cM&#10;HZMxraxrXuj0tFyFa0zX4ZuV7iDmMQhD53A+XfNbanzd/5Ouw78p/i1kPF/BfmSwFnmdv+OYurJM&#10;nJsvgLn6FQVkNLcI39SVw8R/HbtAjGSgcUHH/FytJ/Qq5YPwDIfi/7oDndjO5Q58TwaHQa+Z0up7&#10;MPJILzKqn8A2VXUhTAClhf7LA9X1Ib81T4pzYRIHlV6sio+4k4R7AJigAi0ovDerPu1nB1NA4tUn&#10;TIWJ3icM6RyS/UMMVjC1Znfl0BOrMYaRjNrCTRJljNF4sA/D2Y0xeuTomWPijM0IYDJHfzHGEM7V&#10;F+iMMECpUO3x+6mCjBjOjAZVpqfImJzAsDFVki9X1weXwlhQb24zjDGFieFJAEMBY4LeUnXd+tFm&#10;RR3qgvFHIwDL1NPZX9MQWi03CUPHwIdgYNQepwr7nmp3y23oEUXrDYl1ZFDgx5C4CBQ9XTHk+6rO&#10;4AMywrgn/SSMvtl40BvjwbO31GIEYEhDM96/x5Dtr8hYfk6sjIE8/pEqb2CssyHYMqwuOBVhLtqf&#10;jBIGxpjiDSP3G8IYu4OvUbCok8gIzxbHn78xPIHQUE+omq5xF4w+bSN6tnT+T1e7N3mqZzefaf8f&#10;lA5PqHjoxVJa/c7cpuV/RaNkfsCD60D7OC43CSN6xe4Q5jcQwBgPm7lTTGWMIXFltGn/XyP9xekO&#10;vFelhwU8J+AXowJEtdt/tzjHxq0xO0FouCBf1XgD30JaIv/Y/xsTB1R6kFzU0UBSHzbATX58TlH3&#10;oQjMYY37RPhs36skGGNUQmrbaGBCisOmVwuM8X7SQ6R4+0oGGGM1axWGyqwG2W6MnyThPG8QS0xG&#10;6S/G2GKIe92ApAryv465QTR0HWRgNqHXa33oSCF7h0+TXnDIe8AIF0OI1GNTw6oisgQVL637ijK+&#10;VW7RAxKT8sSqUGmfXycj/WUYBwxT0n7nopKXqyMgg/RXBxkX4fcG7rXuF0YUPWzqwb0bBkgGOzAc&#10;j3Ma7vHPHz5v6wi5TQH9N60xDkPXhQzDv2ss91Kj4fQFt4t9Naw155bHtp7gNowo4Nh03f+O4Wix&#10;jqDlXznrm98HgwljTO7zpD+TYXvFfk7D526c5PL4v1nTEGiurm9ZQo0azLHvqHIHuqgn/g66JmLo&#10;mY6nvrImoIbN/6tsCGFGPhjOv1Av9iiuXzX11mFsqVH2XE19IGJKYtrH5yle1K/jVXuCN5rDxt1Q&#10;4+kK2v/r1NB7f+XcIKYsjoCO+UNqBOCjP3HzL4wxbm/QeY0ik4F5+7lnnCx0teIZY/XVJty3RWsW&#10;UzdGG1bB/V1kCKxH6xizU6FFrZuTWYHCi3tU0YbyVM8YlQP8PR4mSRHrMDUKojnUY9LjXosEvXiM&#10;ELBRziD9wRin1RCT0UPPlirUb1Dv5o8wEsOoh2S/nwnMylAMg34GFb16mIeWf+pyXzSZjN4BuzEW&#10;yCFQMmL/D0/Z0jH+UlPvb0ikQkXPmIxE1Kdxaf3V3b3lxmLa91uOyU3Dqxuao31wJgwaIc75wXlk&#10;bN5FRkg81OTyBYLRzqvKHXzAfFAq9r1KivN2GCLqyd6DfdXU+c+h5a/R8fZRz24aXYeXh54Z6vGV&#10;OBg0ivMpczQgOG+oe+P06vrgl+j6/qK6IaD9kA3+LxoQtH9Kv9AO0cjwhC4X63Dv2E1paQENDzqO&#10;GE2p9QZwaw5Pub9Kx/tnFTUWaB+/dcmeKzCHy0OPyMVuLI01ajQdIYMZfoZADcsjjBp2a+n/YARU&#10;QOe7gc73j7Fug9jBcDh6xbSfF9EQwjVNJO8wFlDpQXJRB4wvChrumyJj4B6DrmcM2kgYogZqSkzw&#10;UVK4dWkBcyyr3i6m2dS96mAdpq4jYSrNdGC/Z6w+xA90xhivJWAa0EkkPMzGZIh8N8bpNMRUsd1C&#10;lXj4aVdxb9ITUJ8ojYrL3RJE5S8XiSbR08X2PYzx2I0Vtb7A/8DwDbcNFSdSoaISrqoP6r4a1gPq&#10;1f+OjBdG1xxkZBdRb/EfdG5Rn8FwNgT+Rue1G0PAyjhQD/GQ/byqG0K/JKPyE/E/vIHXaZvnKn3N&#10;uml7TaghA6MIr9oXGcD7nA1BzJlP1yn4Aowi/Fbomoqev/jPcnvy/0+064ThfRhu0bihBoUMpgZF&#10;6K+0r9+QKLv3nBpYGU7aRnzTHEPjcOl//V0cy/KEO4anyZF5rbHY2eBfDB/iDZm2VgzZi3Pw+MWU&#10;xDDewz1bRX2M2xMuTzBAjZL3kJG/FP8Pfgp/Hg0Cp9d/DeLFA42K4e4tddYGorwmvS4DAwa6WvGM&#10;8VGStTcK44w5qu0gQ2EYDcYVPU20TFUmg9/+qsMeEj5hqEAcnIf9CVGrMcY8zHGHnhLEaozxUJrI&#10;wBK7MUYLGfdW1pLw//BdZyZD5LMxTqchJgNztcvbgif5w/uiSvUGZ0OoaUT95rPJcNxBPbwew4ji&#10;PqW4d9vz9SL0mJ3ewM1y0eGc1zQf9yJrGoJfhmEQ9xbrN4WHQKMZGSviyWLqJcrFqNC5/h/2R8d6&#10;BxnhnyhjRL193NZKCHE/3Bv4arzzcvm21OLhMMSD6DhkoIN/w73b6jkbzZE96jlW1jevsO6Lrs2z&#10;ZKlL6f+8bDfG1e7gJzHSIIb88QCWxz+f0mgfrjUZo1+hV2jvkZMxxrzxIh1o+3X4v1UNLe9RjSM7&#10;1AjAKEMXnrSmc3kJhrbW0/z5mvqAqHPNd7Qtw++4h+4Niae0ITqvf6Jnj1W0/T+rvFsXoMcu8oO8&#10;P0znoB6sFelL239khNx/BA17SqobglepayiuIx7qwgNhtnvxeB2rqj7wceRX2j8Z8uDLiI8n9GUU&#10;Jh6o9CC5qANDQ/eTkIAYhkbBaSbZQQsOH9WH4YQBB2pYBD1jGDIF1us+qTiFhHNBaxEPmcAI/o6E&#10;4R8sf4WULmCM8d6f9alvgP+A87YaZ/XqAQoQ7qF/SSwxGSFfjXE6DTHunareJlWqYtgPlavLHfog&#10;erYuT8suJfXAEqict2UWVehkFHpW9tTjuQb7qfa0tMogAsPGwa9Vz4l8ole9cwzJoKjAGNd6N2LE&#10;KCZ0Xp/H07k185sbq9XTzdSTovBEX4F01NRv2ST+g7sFXyKLz9zgYOqFvp2M0a/lU84RaUPG5gcw&#10;IHJRIA3Km+rpbYB3nOnc1VfWMJSLnu51w+o24tkYoqlIXS/6P38cPjc4qbqh+QJaEZkXyMC53P4f&#10;inje0H9E46ch8BHcEpAx7BTSurVk7P+r9g/R8R9E2pn32/3zrbI0CArRSBKG3PqglqX3isk+ar3d&#10;D31Fw1kfWI78R+d82HpdFNXU0HLStcAT9Vg/qD4wCucpVzOJgEovVsVH2O+b4GniHolB4CtICtUa&#10;sj5gYjXGuYS2hRoD3X9n0kgixvicve8ylrS/v8+lM8JQOg1x79D3uBRkKN7lmGoOecajXDwMFtgq&#10;F6NCFf6t5MSd5CNdVM/fpGvI94aIc6fGzZloNMjFZCDDKe7Zx70W5uhF8G5Kj+Pi3vmE2E8rA9xC&#10;QM9YLuYDfZYn+gUJGGOG6VMSMcbZUm4bYoZh8hY2xkyuEc8YZwNfsGObzhizIWYYJi2wMWZyjXwx&#10;xmyIGYZJG2yMmVwjH4xxfzbENb74k2VYETM5RZk9K524PIELpZdh+h9JGONvkcQEAnHA60eKdL2P&#10;+23Se0mW9yYzBmYDewfpp2LJBHNtf8H0CqxfhMGT4ok+1IXJTazz9sba74Al142xMMTBvjTEjcU1&#10;nuCH5YJ4HQVP68rFmFTNCYyV3pjUzA1Nq3EHMNWt2H+td8tSsSIKeGpbeh219UGf0xP6D53jJXh9&#10;qcYdRHntwYj5m8TrT66G7qeSgZx2Mua1pP0/ifNyuuO/92r/oAG2q3G3RJ2dSpHotWKYjJCEMY76&#10;JRYbL0kXPENCIYv3SpL4+ksU8J6xApOCRP1ySJpQBRJPpT5neh2fJGHGHPXpMsy1jcKNubrVHLGY&#10;NzjW7GBYh4lDrJMj6PY74MllY9z3hhiGqPkOlyf0KTVXco079CregXV5g7+prguuE5GiQHGednoC&#10;mD85LtTDfU18qo+MlzhWQ/en+uy43JiMI/gc6R2V84OL8IpMtTt4d1VdaIZpNMUT1gJnQ3A/nf8b&#10;2D/eESaj/W9a/hPFeZr0PbxGVOMN6F+vMT9kcXVV/RZZbhqL8Y5vTf2FYqYxHXSMP9M+xeuHFPdp&#10;amTgXOKmVzLXimHSTgLGGL01TCzwMRI+BIHPdUWrADCL1XYpzLIjpnIjYj3uj3fiVDwd35SuwpxD&#10;NjNgXlxrY0J9JBsfilBfbfofBEjuJm0j4Yso8n3DmODTi1ZjHG2/A5pcNsZ9bYgBjBXe8azxBn/n&#10;dIfucblDf8KrME7P1pF411VG00JG7g/UK+w5/aUN9FprPIFHYSTFu6+e0CMwqnJ1DzBDlJgAwxN6&#10;xuUNPYNZsWgbTOTxA6cn2OpyB4/JqBR360inN3S/y9PyBsV/N53zi2TEf1XtDT2IHj9tF3VWPTKs&#10;r8PAk1H955CGtTV0bv+I9alCwcym0pr6QH2N278Kk6LQNfslDK1cG5VErxXDZARUenEqPmR86wca&#10;MANXxCTlEryPjMnNMa0ljDamw0SP93ZSrOEfGPlo7w1iVpiIIa00gok8dpPQ24YBVhWsmOSc+BRp&#10;oel1fI2ESd7xjp/9KydogVun8cQ0c2q6QowIWP+73RjH2u+AJVeNcXYMceD7ZHyfM41d8N/4ig56&#10;mTBK0ljGfJcTcaq8PT8oYQeTRVRST1jM1ETQMZ7BO7BipRXqqZIhfcXlbsF0jm/S+f2G4v6dDOrb&#10;hOsLHHR5W/ZC6uMLMMa033ur3YH/q2oIvZviPff/2zsP8DiK841Lsqq7Vd1tcDdu0jX3XnE3broi&#10;9ya5AC4UY0yzJZneklDSIQkkQAgJAUMKCWmUECBACAnFtJB/AgkJaZDs/3vndk6r057uTjpJJ937&#10;e573kW53b9vtzsw7880Mvod1klkekYz2a/g/HIyR3bPMO7a4tGJckSMwtcBZcYMUSp6U7U9JweQj&#10;65CQGgzigdGg5Nwel+Ocq+brdavq56i/W6z3ipAWAYlelIQPmcvLol+IMHJWlSjSAO+YZhCj3Ogq&#10;J1TB3ieqN0RcGB+LMGuS3WAFcNctNWXh8+ZfUH9yb3kvRcg4NWgTxrRoGL4TI43pzBdjBm8VzRLB&#10;IWvQZoZ9hE+oEZ4ZR9pvSpOMmbGzvBq1Qa2aEQOMZlQ4YeMwOE1xbo+kObZ3RqZR6PL+3NwkIhiq&#10;EQ4WGZ65qFG0Gy5y+F6WDO1s/C8ZtJo9yA6MQiWOFxmfOTVg3UQEVoKZsf/BIo8fI4hdLJnkJ2kO&#10;R1aBM3CwyFlxdQkmGBDXj/Gnza+kFTm9q+Q7fxFX+wKcNtyxHp4S0wKqeyBOVm0cRkGZfxfWy7+d&#10;MHG+KjQ4A2/WG4UqjHjvFSEJB4lelIQPgRw6UhJOdbUIcxTbgSHu9KD2aGPWpXYMoannL7WC6mxd&#10;5a3mRg0DL+elwX8TCkq/mJYxEpiuMRwUNFDCRjsx3D8mz8DLjapq/A2feNuuHTw8Mwbh+015kjEz&#10;bisKnf7Xij2B/ajiTRs0I7dQMosCyZwwGhMytcbaTiWz+ghT4yEjgkM0F9uD2YDMzK3Y6VuGjB8Z&#10;ms5o88dX9FPbWch3+W4pcle8gfGK0faL7TqP3tBgmlPtjEvG+U+Tbd9HpihO39nLVXFGvjkamFzL&#10;N9R4x+YwmVIweF0KHNOLnd6jyJDlPD7A/iE4eGxjh2Tcn0U1OzJ7c5EC1eSyT9SE2RLXvSKkJYgh&#10;M8aEDsiQET2JqmhUU4dnKAAvlR4sfq7I6obxYoQPGI71odloBFR9Y0aU8Dbhf5l/NY1GecbB98y/&#10;Gu3MrRHbeoxtgIJBQITEzxpUhhc83NXfJELk9FnqUx12mXGk/aYszIzrQFuuZFQfY57iApfXW+gM&#10;vGquwuw7LmRO5sd6FLr8J3RVMNy1ylCdXryXtqDaVzKkn0pm9pJksKvFIa7U3ZXUMWxcpWy7EAFP&#10;QQcbzIxlcYMaLnGqs2WbapUJu72Y1/d5OGpsr5U/fnW9zN46r3GJ0/csJjuQY/y5uMw30VzcgODk&#10;ChVXy7XfLBnvc1KIeVOO+x/sH4UKu2ptEO+9IqRFQKIXJeHDJBGonkOVK8apRTWO3Xi1cHfIaNDO&#10;ijmMwevm3xdF1kwWGTEm1A6v9rtNhHPBZP56MHO0qeo2agwOn6iqwldEurp9r0gnNleLUPUMPYMF&#10;ArpVAbTtYjILtB1GAomIrgVAwmktlCAztiYm8ew3ZWBmXIc4tVr8xUQCasaeCRuHpZkD9WPiA+u8&#10;tpp8ybCQodSbEMAROIxlRTbV25LB/6zIvXa8ZHYXFLkqXpSM6aEiV2ADMjC4ULUvGyQT24sq7RJ3&#10;4Db5zqeC2zWcRzhf9mudtrHA6cd7no7tVRW8ZQKGSEiB5G0EsZkfIyLXcBYivJEZY9ICHCN8ZiYr&#10;8d4rQloMJHqQ+dEOXY2Ktk28aOjCM1oUDmZe0YOd63YXuGqABx3twpqIVWsCjoPjhV4OAa4cjjhi&#10;m08TwQxNaO/V5439o0ChpbsaWc8F7djBGWfswfd0Aqn3A9AerD/r48Wz35SBmXEdytEF/76U7wyI&#10;WwvODiR/swudFdVoa1UbmhQ6/etVpmXJXDRFTt/38V1IXLVqisEctz3Gek8Xl/sLzIFc4PJfihmb&#10;MNMPZlZChLVk1oj7aACmBMS+sF4y8V0IKjNX1QP7KHIGVDOObu/F+QWvQ9aLI5fM9m/43w7J9C/C&#10;toioVsFjZhevSGAO5AJn4PISz7rBst+bxFV/Xo5xobh9KWDXFRbivVeEtChI9JjwkWSCmXGQIlf5&#10;Z+E88T+mygtmJsi84CRHqwxEHOB7cID4H/QYv26w+a8tXTzrSxBdrCer14S3w2I/2LfKjDCrkA0F&#10;knmrDLX/6jw1CxH6ErvKLdMzBil2+M5Feyz+F8f9A13lrb5rIg61wehakvF+HbMn9SjzBWvGJNNE&#10;lT2+h2PB/eqI7UKn98ZiZ+CvENZDqNLHYCH15Azo2qgm3ytCWgQkekz4SDLBzDhEq0dvW8EgHoWu&#10;ClUACEcc9efEqR4yPyp6T1hdZM1goyEZp3X0uRiZkYm2cgR/6YyYkA4BEj0mfCSZYGZMCEk5mBmT&#10;ZIOZMSEk5YgjM8ZYzA0iJaMQGhKviaC7w2JRSw+GEd4FCUNUIrhLgy4R1s9WrhA1NiZ1ONaxtRvb&#10;b8rCzJgQknLEkRmjv2+9jvQR+Lf5F6DfLDLwaFHQ4eNPW8E+EH2MyGxEPicadEOyXv8a82+pSI/7&#10;ixG1ECGuoy7LRQj+QJse+hSjb2W0THWe6DmRjq4GdvtNeZgZE0JSDiR6MSR8cI7odoPBKV4w/7cD&#10;GRIyVvTPRXCHHpz9U6LGIhIbO77OjAGO3RJBG/r46MqEa9To5ZjQAcNdImpVu33cg3dE6HONSSIw&#10;lWI0wgf9sNtvysPMmBCSciDRi5LwYdxmDFmJ/r8AA3roCRTCQYaCATTQqR9Vyxhe71kRBuuIBMax&#10;Xh/81xZrZrxMhJGtEgG6S2BChwdE1uvHMQCOowfKx0D2qI7GeYSPN41M2Ho/MDkEpo4EGLzEOo9q&#10;eGbc2H5TFmbGhJCUA4lelIQPE0VgHObrRHCmqFrVw15a0RPsLxKdDP6rBgixG63LynuiHwX/tcWa&#10;GWMwEGReieAu8y+wu34MYKC7lmAiB4yR/Rn1qQ4UJDAoyjdF1qp4PYB9+HRs4ZlxpP2mNMyMCSEp&#10;BxK9KAkfMmOMSa3B2NSRZm3C5AtPiZB5omob3+siwtCTdqCqF+4QVdiRMiRrZox2V3/w32bhFmF2&#10;KU349f9WFN4+jmAyBFxNF+EazxehDRuFA7QZW8fZxnWfCv5bD7uxqcP3m/IwMyaEpBxI9KIkfBgZ&#10;B4FHGKf1MhHcnt18xgAOFxkrpj20zlGMzM9uzmI4SD2wPOY1tptg35oZw2nr6vLmgFlZMAOVxnr9&#10;mPbRrk0cAWSoukbgFs5J81VR+PaY1QoTUYQP+2mXGUfab8rCzJgQknIg0YuS8N0s0pkhQLTxkuC/&#10;DdABUHB6qOLVkcnIxMNBe2ph8N8QmGoRMzdZB7+3ZsZoi04UPzb/Auv1HzT/Al19rof4Q60A5ndF&#10;4FZj6Jml/mr+1YRnxvHuNyVgZkwISTmQ6EVJ+O4VIRq6RoTgJmQYqFIN51ciPRH5l8y/vzf/wole&#10;E/xXgakJ7fosY/5jHOdzInwHVclvijBnMLoaJRLsG9HeXxTh+lFgQJUx/tfSA+RbJ8bAucH5RwLz&#10;MuvCBwa/V2MLC5i7+UMRrkf3NY5nvykDM2NCSMqBRC/OhA8DytuNmYuq2cbQAV6ENAozY0JIytGE&#10;zJiQFoWZMSEk5WBmTJINZsaEkJSDmTFJNpgZE0JSDp0ZIwGkqCTRB8yMCSEpxSdpaR/qDJmikknm&#10;I0oIIYQQQgghhBBCCCGEEEIIIYQQQtqQ0vW1fd3emtsm+k686PbX/m1i4IRBUU2V23finxP9J34r&#10;z9M9petqRpmPWYemdFltX1d5rc9dXrPbE6i5hqKiyld7pbuiZofTX33WuHn7MfFah2Ko72h3yVe2&#10;eHzVD3j81b9x+2tel2v+kztw4n2Kaoo8/pr/k3fnVSmnPCe6y+2rWT1jxlHrtA6EEEJI/IzzHy2W&#10;TOURyVw+1oZm2ubLjDWHthq7qpcae6+cb5xzzWzj3GtnGefdOJWiImr/dTOMc6+ZpZ6ZyurFhvfC&#10;DcasbUfqjLK/5hOPr+Yp59pjY8zHr10zdnF1L7mem1y+mrc8vhP/1ddJUYmQx1vzsttXfTBtxlG7&#10;aV6SmKMZ8l6c6/LVviYG2PJe1Bhzd15orDin0ii/YKNRccRr7Di2nKLiEp6b8gs2GEv37TFmbr24&#10;3juDcozLV/2sc231XPNhJIQQQqITNMTHn9MZyvyd5xt7Tiw0Dt1gb3ooqqnCM7XvqnnGkr1ny7NW&#10;q543j7/2HZf3ignm49iumOirWevxVr+r352pG68w/Bf5VIXAweun2d4DiopFB66bLunwAmPdeZuM&#10;yRuOBd8V34n/ugO1r7i81XZzqSYNI5Yd7KZa78xK1skbjhvrLtik3n3mK1RLC+/NynN3qXcm+N7U&#10;fuTx1RwxH09CCCHEHleg5rAuvCyoPKRahO0yGopKtA5cN8NYdvZuVXBBC/JEX+315mOZ9Lh9NRNd&#10;vpo/6ILX+gs2KiNjd50UlQghbV61f6c8bzXqmXP6qn+LcH3zkUwW0t3+Ewfk/fgXznH65kuNnceX&#10;2l4PRbW0UDm5+dLVoXfG7av9o6v8xCTzWSWEEEI0RzNc3pov64L92vO2siafanXhmfMd9qtn0Cy4&#10;PDQoufuHpUuh/9P6fJeevZeGmGpVnXvtTGNh5UH1/Ln8Nf9w+69aYT6bbY7Hf+LSYMh0rbH+gk22&#10;509Rra39kkYvqDyg3hlEXTh9tZXmI0sIIYSkpTnX1UxGeBEyivXnswBDta02HV0rhZZa1XIshZZl&#10;5mOadLh8Ned6/DX/w7kGjvhsr4WiWloHr59udkcwK5TKj7W5OXb5j+3S57P2vC2saKWSTivOrQy+&#10;L97qDyasrR5vPrqEEEJSHY//xFeQQczcelT1+7LLRCiqtYSBumZvP6wKLS5vzc/NxzSpKPUfH6q7&#10;HSzavd84eAP7EFNtJxjPWeaAQx5/zQvj/FcWm49qq1O6/mhfj7f2ZZwLxqiwO1+KamvtvXKeMWPL&#10;0aA59lXfYz6+hBBCUh2Pr+YUMod5Uog5cB0L+FTbCoX8RVX7gwUWMZ/mY5pUuPy1F+H8oO1XLLe9&#10;DopqTW04uj5YmeSv/VuZt9phPqqtjttfPV7ylA9wLr4LA7bnSlFtrYPXTzXm7zov+M74at43H19C&#10;CCGpjsdbo0bSxYBbdhkIRbW2lu7bpwoskPmYJhUuX+1X9flxxGkqGYSBrSYFqs33pnaG+ai2Oh7/&#10;lR63t/afOA9Mo2N3rhSVDEr2fIYQQkgb0JrG+MB1k40eBTlGenqaMXXxQOPQ9VNst4tVa6vGGGmy&#10;r+ETCsSg2O9r2cYRyPSMcZNLjDlnnW5svqDUdrtoOnDtZKPfad2MrJwMY+XWkbbbUIlRezLGduff&#10;Ejr7xETb5RQFYX75yRU0xhQVq2iMCSGENKAljfHkhQOMMZ5i40z/MGPemiFG9/wc47RRPY2F3qHG&#10;4sBwW02a398o6J1nrNjSuPk85+pJRr/TuxmdOqUbPWS/PQtylbJzOhmdMtONwLnj1HbaGFcdcyvz&#10;PHFePyM7t5Ox4xJng302poPXTTH6n97d6DOoq3GuHNtum1gEY95XDHbvgV2VZq0YbLtdorXjqNOY&#10;MKW3Ov+eRblGLxGOjwqKc66sfz3bL3YYQ8fmG4V9OqttHDP6qkoN6zYQftfOXbOMkgFdIlZMNEU0&#10;xvV19pUTjbwumcagET2Ms3aMbva99p091sjMyjDmrxti7L82+Lvuv2aSkt6mfO9Y9d4s8g01RjuL&#10;jAlText7azyh9fFowNAeRtce2YbffCepxIvGOCik66eP7mWUTetjVF3htt0mHi2XfGjg8B7G0g3D&#10;bStykRec4SqSZ7y7sa5qTIP18Wj7UYdKn/Gebzw0wXYbKnGiMSaEENKAljTGM5YNNvJL8pQptVtv&#10;J48Y17wuWVEL/0PO6CUGOEMKQT2NTecHW4FR8EaBf7EYtsrLXWrZ3DWnq1Ze/T0U7oeNyzdGOgqN&#10;3XGc1+7jbmXYexbmGpWXBfcdr2AuYRDktocEI7/hYMsWgrYcLlPH6tYrW7Wcl03vI4Y2M3QOGRnp&#10;xpYLy9S2uIeoWIAp3iP3av3eMeqeFvTJM3ZXB+8XrmPg8O7qu9iXNleJUqob41mrBqvfapAUyGEq&#10;s7IzVKXS4BE9jcEj7dV7QFcjPSPNGDuppNFIjD3yHOO3LRKNlgK9Fp4HaJMZUaGNsY6wWL9njJGT&#10;i2d1fL39RRPOpf+Q7kZxvy7Gvia2eq/eOdrof3o39e7gWcR54VpxT/D8hVfsNFe4VhgUVEbgWOp4&#10;6XK8XjmGZ27/ehUIWw6XGiVy7/EbYbvO3bJU5Z51f5D37LFGTl4ntb4lTE+qGmPf2eNCzzsqkAok&#10;vxk3qVhF+IRvq+XdN1ZV/tmtC5d67+T90hW3qEzC84wKTaSD+6+ZbPQd3E1pX+1EY9qSQUaX7tnG&#10;gvVDbPfXmJBPyi1UFY5269tSeKZR8dx3cFdjxyUN792uy5wqggvvTtUVkfNH/C54Z7YdcURMp3Bf&#10;F6wfakw9c2CzKqGjicaYEEJIA5LRGHfplm27DqqQgjkKK8s2jVDmeeelTmPImF7Gmb5hRjcpOJdO&#10;62NUSsZccWC8sfG8CUZR387GyLJCVcBHYciqeM5ry4Wlyjjkds40fOfE3/KFQgBCvuWWq/1svahM&#10;hZXjM/7afSeallQMVwYnS8w19gOhAI8W9KmLBqpWbrvvQbj+bj3rTPpZO0ap5euqzlCfdcv4BinE&#10;o4W9V3GuKvCU7xujPnfpLgV8ub/h+02EUt0Y41nGM74zjqiG2atOU7+b3TotGIf84jz1PsBkjvUU&#10;q9942eYR8ptmGKOcRYZ7Tj9j7urTjLJpvdX+UEiHIUA3hB6FOfJuZqlWZLv920lXKOGZxztkt00k&#10;oYBcKO8vzgPCeeO9RqEalWFTFw9SzzreJbvvN0UH5ZiIRBkyJl8K+meo4yGtQSWcPg+Ycb29fod0&#10;a/iAYT3U54XlwXuEyBacN5aNn9K7UcPWHKWqMT5tVC9jRFmBsbbyjJi0dOMI9ZshEmaPWdFnJ7wX&#10;p6HCaWAXY9elLlWhCq3YPFJ130G6iO1ghlHpg1blQzcE01tUyi7ZMDxuU4e8TW6hetfs1jcmnAO+&#10;G0mo5HHM7KPeKbvvR9MYd7HaD95//b6hdR6VqOHH0kLXI308ld/0ylbngfQN7xC2GT6+oN45rd19&#10;hsrP8BttjjO9iFc0xoQQQhrQ0sYYBfzVu0arAmYsOsNd1KgxrjrmMlZtH2VMnN/fGCiF0PySXBXK&#10;ixYbhJnq7WBEXbP6BjPyw2XKxKHwMHvl4EYNYyRNWzJQtRav2XWG2o/dNo1pvWT4GZ3SlVCrjmVL&#10;KoaFChGjHUURa9DthEIY+jqj8L6nOhjiiu8jdBytadjnWXKfwr+nddronqFj417q5Si4T1s8UC1H&#10;azaMdlG/zlIQHG8MFbOA5SjUJDJ0Olw0xsNUxcOanaOVAYxF7tn91G9jtz8ILV0DhnVXphKf0cqP&#10;lthV20apiIp5a4eECvZQiRgCtD4vrYi/gG+VrlCCOY6nFQ0mHuYF1wQtEXNut128wvUjvdD71UJr&#10;7qbzI1f0aHMLwWDo5aj4wzLcR3zWRn61pEUVB8apirQMeR/RYmy9v4lWKhtjVKbarbMTKkPxm40q&#10;K7JdDyGSCM8rugKhkrVEnkNEWaB7DiIWFspzPHRML1XpigpEVJp065Wj8iMIzy3WQTqtj0VzxRDL&#10;LVTPp936xqSNcXhFNNJzdEvCOihP3sVohhP55aQF/Y0hZ+Qbrjl9jR1iau2MMfIAVBBYK3vwDuEY&#10;+njIj7B8+aZglya0rKOVHfkx3jkdgYWoj9PP6KW2cc3u26L5ixaNMSGEkAa0txZjhB3DpGKfMIQI&#10;NR0/paRemCZqpxHeCEMXHr45c/kgZaLRz9m6vDEt3zJCTGKG4TtnrMqw0fLTBy0OMfa5RCEfJlNu&#10;t9F/aHdVmNCGBiHhWI6ad4T42X0/klDTDkODVqri/l1UIUO1YImZxT7Rihj+HVQq4FqwPicPrd/R&#10;C+xoDUMhBgXAgBT2tQlDeOs4MU8IxUYhUIevN1c0xsPU74jCo26piia8E3JqtvuD8Jyg7yV+J7Ta&#10;DB9XoPqRh4f2wgQPH5+vnqVdUmDF57ETi1WBFuGS1n3Goonz+iuziMI2zH55jEZh25Hg9rgmKBEF&#10;5Yr941VFD/YHA3POVUHDj32juwHe0/DvoNCPcRL0eSCc/RzLdkhfpiwaoIxTfnGueh8QKopKORzr&#10;9FHB7cv3jlEt76hYQyuy9RiJUCobY22wYhEqalE5GckY4106a9uoUGXQNslLEB6N8SVgipGnWZ9F&#10;hFTnSjoKs4hW4+WbR8RVwamF52yg5GV4P5Fn6oiDWBXJGGuhEhXroZnLI49r0ee0bsHt5NlFiy8i&#10;Jzpl1bUKW42xnVTFrPmOIRJKd7PZfsQR6gqB9GSQ3Ctsg3EvUAGI/BEVdMhfwvfZUqIxJoQQ0oCW&#10;NsbICJHB6tr0aOreK7tRYwwhLBqDnUw5c2DI+KIgPXZiiRR+coxpiwepAk749yCYQBRe5NJjKnzA&#10;QGdKwSB8NOvpywYZGHgKJty6PFwo8KAwjeNFU17nzJhb52A0YGrwPacUwtGygTBQXROP5VZjjBYr&#10;9H3DchhcFJRiMRulU3urgs7wcfmqgI/wXhQudWis7mOH/a5K0GjdNMaJD6XGqNbW/sIYfA1h0roQ&#10;j794H/BMwdRZW4GgwP5xylAPFqO3rza2CiGYBhSGt5kF6RVbRqjWpFhC8HUINq4JCn//mqLJC/qH&#10;9rdia+RoCi2EUKNfNbbHuw5za7edVTANqNRA5RNa5NftPkOlH+j7in7bI8uC3SlKp/W2/X5TxRZj&#10;+/XhitZirJ47Wd9LTPQMSeMD+8ergbzQvxwVmXo7XWHSPV+e74vrjCK6t3TulqmiI+IxyDCHqGDc&#10;eF6petdyOzcewRCuaMYYla66wnSc5JPh6yFcL9ZD4f2cdcREJGOMSiVrVIWuEArfDvky8kxUsiG/&#10;OgMt0Wb+gutGBQTSCJQb0E0CJr4pEV6xiMaYEEJIA9pTizGMHPrCovACI7x8c9CIoeUUBU2rqUTI&#10;JEKC9WcIJhchpdge+2rMGCKcDkYdLbGRBhNBeDFM6FDJ1O1amyCEsekadPRPs9tm3ppgCB2EAoW1&#10;z1UkoW+17qMMw3La6F7GIDHgKFDofWljPHd13f5RCME5I8TTqv5DutWrTNAFfGyLwr1evl/uMSol&#10;sB/nzL7GIrmnaHmGAYpWSRCraIyDo32jcIoWxlg0fnKJ+n3t9gehlRItmxg4CMZYF9pnrzxNFaox&#10;6nS0gbVgiLv0yFIhpnbrrfLMCY7+Ht7KjO4SaAm2i2YIlw4thbrKcf3n1o+owPu+SO5VrIPordxW&#10;12qGQfus5h/9JXUECEwEnmdsh+c/lunZ8M7ifcB30Bqm0wP02cYybYT1oGY6pNS6j+YolY1xn0Fd&#10;1PMWi/A75IjpbCyUGsKzMW3pIDW2gl8Mm16+S9LdYeMKVOsz0kU787vjqENVHCKKIJa03CvPBNJg&#10;VF7qZeh+hPfH2j2oMUUzxv0kfcd6pNtIL8LXQ+gioLYRoVLHus4ulBrCfUJUCEw91hf17RLTjA8w&#10;/aiEw/uF9AjRRpgtAdeMiCq8PwgpR94ZbyRVrKIxJoQQ0oCWNMYYyRK1vihA6NDhaEKYFcKq7Pan&#10;hYwZLcPWEFDHjD6GwzIoDoQWHoRnWVt6kMkiQ4ZJsCvUwHBiSinUfscSGoxQsVkrB6tCAQrTKFzA&#10;uOv1KCSg1QGj/aKG3Ppdq9AipraTAkN4a11jQiFs3e4xqq8xjoHvojUZ+9JGFwYChgTLIgmtv/p+&#10;nHu1XNOKwarFLFILNu4NQqxxPxNliLVojBPfYozCMiqC0Fo7yxJKiW4IVvOKgYYwXQyeF71svTxf&#10;MHKxtNqicI/3AJEGkZ4dPF8YdAcVOhg1vjHzgGNiJFxcm51QeYM+kHbftRPMMdKE8P0gXBQGSEdE&#10;hK8PF0a+1/tEmtHTrKQ60ze0XrqCNArXiWPCMOvw8Fhan+MRW4zt14crWosxBsBC/2EMMGetEEW3&#10;HVRyIm3Vz6vdc6uXoRIJ73Gkd0ALlUxd5ZmwS0ORF8A4jiwtiLofbYzxfOGdQgUwwvrRB1qbVgjP&#10;rV2+ByFNR394bIdWW1Sardw2SkV86e9bjTEMvR6NHeNa4L555varJ0ShWO8T8ieET+M7GLMCaQGW&#10;416jEgIVu+jygLwLYeXWqRcTLRpjQgghDWhJY4wQX2R2yEiR0cUimGm0StntDxksCqBoobTWrkNo&#10;XcNy6zIIoVgYPMW6bIOYAxQWrDXnZWKsMZURzHksIcbhQmED/RTRIoF+VmhZaMnBdjqyUt0YI6QR&#10;lUMoQIYXNCMJ/Rvl1EIDsYULzyfCO2EkrYPvIFoBA21Zt0WhHuGgTssgUzrEtM+gbvUqfrQWB4YZ&#10;Jf07q8qUWFtCMbc2xgLAecOsuGb3U4axsdBJjAKMdAKh4c15v/CO416hH3VzphvDOWAfMDaNXTcq&#10;xXDe8VR6xSMaY/v14YpmjLVQWYTnXRtSdAco7tdZ/YZ6G4xqjZHaETWjl1UcmqAqVtQ0dpZpvcI1&#10;b93pqpUYZruxZwLPFKYIk1urztsXofUU89Hj/GAmrRo7qViZfJjeWN4XvFeTFgwIRSOh1RsRR6go&#10;w/z7g0f0CFWkYSq/8OOFC10HzrkqGD2BdAPGHeYbhjv8fDDv9Hgx87ldgqHUGBMBFXktlY/SGBNC&#10;CGlASxpjimqKUt0YY0osx8y+quBtt95OaLmHkY1kKtHqOsrRMAoCLZpo6Qn/HiIQEIVhXXbuVZOM&#10;EaUFht8yXRlaqlG41wNZNUU4NlqJUJlkt56KrlQ1xohOQNcOVCbFIozAj9ZQVCTZ7W9vrUe9J2gJ&#10;XbOrLpxYT8s0orSw3vZ61HXryP54T9A/vqCkc71tEUaP7i6YUhCRRPEYPhhkvGeY8khusxjWPAN9&#10;cu22pWITjTEhhJAG0BhTyaZUN8YUFa9S1RijVTaeFn+YUbSKRmqlRQsxIpzsKpjQlx3ftS7D/rA8&#10;fH/4jBZQ62cYZus2VNuKxpgQQkgDaIypZBONMUXFp1Q1xhTVVNEYE0IIaQCNMZVsojGmqPhEY0xR&#10;8alF85n/paXl/Tct7bFP0tJ+K/+vlSNkmcvPkuWflr9FojNk/b/k8zWy3qG+aCLLLpf1h2R5prmo&#10;VZDj/lP0tOincepJ0T/ken4t593f3B0hhLQ7aIypZBONMUXFJxpjiopPLZrPiEl8QPQdMYnzxSz+&#10;UHRU/p8immhqgyz7i2jbx2lpq+Tvi3IWGy3rtQaYuwwh28Ncf0N0QnQ8Fsn+H5O//5W/P5Z9DjJ3&#10;1QBZ/65sd79s441T58p3P5Dv1sh1ZJi7I4SQdgeNMZVsojGmqPhEY0xR8alF8hkxiJvEIP5C/nrM&#10;RQr5fLaYxvvwPwywaYLz1EpBPneV9Q+KPiPLy8zFrY5pjKvNjzivbPl8uehmOa8+5uIQsqxY1j0s&#10;uk/+H24uJoSQdguNMZVsojGmqPhEY0xR8alF8xkxiZjwaqb8XfKftLTp8neSVbLOEDN5bfhy0UVY&#10;h//NXbUq2hjL8QfJ//vl7xhTi+XzS/J3tl4mn3eLXhQdlHOeIMvmyXevlv97mrsjhJB2B40xlWyi&#10;Maao+ERjTFHxqUXzGdljhpjEL4vQn7g8XLIexviL4ctl2fVYJ/9vkb/p5u5aDTG5H8ixD4jG4385&#10;nyvk74/k79WybIBolHz+rXy+R/4vEI2Tz8/L5++JED5+SpYNM3dHCCHtDhpjKtlEY0xR8YnGmKLi&#10;U0sb4wliGP8iJnGTuagepvndZ35MGszzQp9hZYzl80Ysl/83ien9jnzuLX9fEn1Vlq3HX9l2CLaR&#10;/68VvSbbDMZnQghpj9AYU8kmGmOKik80xhQVn1o0nxGzeI6YxK/Y6OtiKN+XIxqip2zWa70t230o&#10;+1lq7rLFkWM5zWOWybn1ENXIeSA02iHLRkTRbNn2pHy/UrbvbO6SEELaHTTGVLKJxpii4hONMUXF&#10;p1bNZ+QIhWIcvyjG8T0xkTCPEVuMZV2ubPuRrN9sLlLI57Gybo38dYp039+4JPu9Vc7hL/L3JtlX&#10;D3PXClmGUa6flu2647P8XSjb/ss8pp0ZtupsXJNopNoZIYS0U2iMqWQTjTFFxScaY4qKTy2az8ge&#10;s8VUos/wj+XvuyIMqtXbXF0vlFr+jpbt7pZtMBfw46I/iJ6XbQrVxibyOV22Rb/eRChf9tfJ3DXO&#10;AXMqvyrLBpqLtDH+t/xFn+NljUnOF3cRxjh0jYQQ0h6hMaaSTTTGFBWfaIwpKj61SD4jJnGOaL/s&#10;car8LTAX10OWF8NEyt+j5qIQMJayvIv5sVWQ43nE2H4j/Hzl8xwxxv8RPSHrf9CYZJsXzGuyvWZC&#10;CGkvpKIx3nmJ0xg2Nj+k4ePzjV2Xuepts2r7KKNz1yxkmErDxuUbu4+5Q+sPXDvZcM7sa2TnZBhr&#10;do0OLa+6wmWMn1xibLuozOg/pLsxQIRlZTP61Pt+rDp0wxRjcWC4Os8REwqNc66aVG99U88zmUVj&#10;3PY6a8foeu+Ie04/49yr6569c+U5nDC1t5GeEXzusuT5mrl8cL197K3xGH0GdTXyS/KMPcc9oeWr&#10;5TnE/rYeLjUyszOM5ZtGGP5zxhlz15xe7/ux6uD1UwzP3H7qPCcvHGAcuG5yaF1zzrM9icaYouJT&#10;suczhBBC2oBUM8ZLxGQOGtHDWLltlNK4SSWqwAwNGNpDGck91R4jJ7eTGOYC9R0U5LF++pKB6jOM&#10;ddce2cbAYT0aFKRRKF+/Z4wxf+0QI7dLppHXNdNYsH6IUb53bL0CezRVXe4yivp2Vt+H2cXxO2Vm&#10;GPtOTAxt05zzTGbRGLedYCRRoVM2vY96P5ZWDDd6FGBGzuA7AuMJI7pK1mVkpBtzVwfNrFuMKdb7&#10;zh6rPi8Ts5uZlW5MnN/f2H9N/ef+bHmGse/xU3qr7+D5xGc8r9btognmvVOndPX9vqd1U/saNLxn&#10;vfesOefZnkRj3HqqODQ+YkVlS2tvrccondZb3s/ekhe0z0qcZBGNMSGEkAZ0FGN89pUTVauPXFID&#10;FfbpHLEAs+MSh9G9V7barmRAV1Xox7aFvfOMzt2y1P8zVwxWpnT1ztHGnNWnGRlSGJ+3ZohqzQ3f&#10;34aD41ULLszwICmwDxrRU5mLbnKMwP5x6jurpUCvz23+uiGqIF9Qkqc+n+kb1mC/88RkY124MW7O&#10;eSazaIxbTngWzvQPU4ZSLqWeFsizaPedRbK93sY1u5/ah1eMZXZuJ2UOUJk0ZEwvo2v3bGPbxQ5j&#10;4NAeRree2cbWw2UN9oX3a9KC/kavolxjbeVoVfGDZ94t+x08ood6j7F/z5yggcW7uV32iXcHUQ/d&#10;83OM7UcdDfY7orRQbR9ujJt6nu1NNMatJ10BmZGRFnp2EPEwWNJ6LLcKlZo7Lw1W+ODZH1FaoCpq&#10;EAWECs2s7AxVaar3jWe9Z0GO0VvyIkQy6OVrK89Qz/9oZ5ExYGh347SRPY0xniJZ1slYuWVkaLtY&#10;hTQA7yDOMTxfac55tifRGBNCCGlAR2sxRgFlhGTkKJCcNqpXKIRy/e4xDbbdcGi8alHF+vAMXrf8&#10;rtwabFneeN4EI784V4VbbrpgQrAQlB7cN0xv+P7R+rSu6gxj3e4zbFuiYKDzumQa6bKPTpnpqnCy&#10;Yqt9ASeSMYaae57JKBrjlhOeic5iRlHIDpw7znYbq+atPV21qMplG7NWnFZvnWr5xXMnwjO4sHyo&#10;Mtyu2X0N776xynTie9DgUT2N3cfrdyWoOuZW393SiIHGd3F8vMddxNBWXl6/y4NWJGMMNfc824No&#10;jFtOMMLITyBETKD7ilxqPWOM53LDoQmh7yAiIbdzptquV1GeygOqrnArIzvGXRzaL9bPXnWacQjP&#10;+/z+Ko1fUjE8tB8tRHI4Z/VV6Tneh8ysDGOwmGPdxUGvxzlOnNc/9D2dHyICBC3MMLQ9CnJVXoMu&#10;BTh+eL7SnPNsT6IxJoQQ0gBtjOfvOk8Ko/YZSHuQblGSS1IFgxVbRqoCcKZk4FhmNYQI2dS15T3l&#10;7+YLS+vtyyoUBKaeOdDIkoICWndRwDldCs8w1NuPOJSZLuzbWZRn7KmOvUC97UhZvQI5Cjorm2CM&#10;tVrqPNtCZ+4+J6kLLO3ZGKPVBxUxqJTZfEHk5x7vD/rjyuUaE6aUqJZcu+0gGFEU2NESi4qZ8BB/&#10;vJvYjw7xj0VoNZ635nT1Pa0e+TlGZdhYAFqNGWOtljjPZBGNceKFfEKb26I+nVXYPdJYGGIssxrj&#10;cK2rPEO1smK7CVN6q2V4pmFkUVE55IxeRq/iXBUBgcoa5EdoCd4ToVIGEUFrdp2hDDgio9B1AOk4&#10;Kl9hirEN0nhUiuKY2D8qfVABFKlCKVK+0pzzbE+iMSaEENIAt7/6UWQMs7ZdZJxzzWzbDKQ9aNP5&#10;pSosEy1LyLiHjs2vNyiVNsYYiEovK+7XRRWKrbIaaBQ00M8Xra86HA4GFLXvMBfrZNsth0ul4JGl&#10;Btk695rY+ptVHByvCixoLUaIXHhoNbbBgF3o/4xzwnmq9SiojOnVaufZFtp/3Qxj7o4LVGHF5T/x&#10;W7nupMPlrf2cLlDtu3Ke7XUkq9C6hJBluQxVcMd7op4xeX5gCFGA1mH9EIykfjeg8WKSrS2qKCzD&#10;XJ7hLgoV0GFA8TxaQ/yxLwyypb8XTbNWynfkeS/onafeBVVQl33o0GpsA6Ogz0tHfuTJO49Ws9Y6&#10;z2TRjmPLYIgNj+/Ef92+2mlyHW1C6fpj41z+2vfxbngvrLA91/YgmENUsMolqWcLz4deZxdKrYU+&#10;wCMmFKj1SN+Xbhih9mXdxird5WXOWacZyzePUPvEcWfJs4iKXrTaRqrosRPyAmuXokhdD6BYKly1&#10;En2eba2D108z5u06T6Xhbu+JP8l9IIQQQmCMT1QEC/k1xpbLV9lmIu1FKICU7x2jWrsghIQF9o9X&#10;/+tC8qYLSkPr7aQHAEJBCH11UaC2y/BhINC3C9/ZEaHgYSe93/Dv6fM6a/soFfpp3c5OLX2ebaVd&#10;1YuNyRuOBwss/trLzMc0qXD7ju0IvjMnjI1H19leR7Ir/PlC6xLeH0QaoLJGLw8XTIE2lihwY5nd&#10;c4VQaOwT6/H8NdbiHC69X+v3rOel+zrq7ezUGueZTCq/YIN6Hj3e2j85/VeOMR/VVqd0WW1fOYeX&#10;cS7zdp5ve67tQXgXdEVJdm5GXYWjLIcZxHKrMcazpgdyhCFeHBjWqFFEZY+uzNx1mVM936iEgpFF&#10;2o48oLh/F1UxFE9o/9INw5WBRQVSz8Jg6/EoR6HttrEY45Y6z7bW3ivnGzO2XBLMZ3y135L7QAgh&#10;hKSlnb7mvB5uX80vkUHAkOw+sdA2I6GoltbZV80xpm68IljA99W+XLr+aF/zMU0u1qzp5PFWv4rz&#10;nL29fUdaUO1fKORPCtQEC/nl1Y+mObZnmU9qm+D0V1fhXKC1522xPef2IN2fFkZXLiskjEiNAd2s&#10;xliH8kfS9KWDQvuctjgYjm2dNgyGW0cOIUx60PAe5uCJp6t1ertIwsBymJYM34eJRQVPeGg1okUQ&#10;bWHtwhOulj7PZNHSvcEwape/+s9l3uqxcj2EEEJIkHHzruzi9tc8joxicsVxY+PF7bMVjGq/2n5s&#10;mTFlQ9AUu3y1L471VvcyH8+kxBU4Psnjr/krznfBroPtun8+1X61R0zx9M2XBk2xv+Yd14rjBeYj&#10;2qa4vCcuRVg3IpHWnbfJ9twpqrV17rUz1UCjeF8gp/f4OvORJYQQQiw4tme5vTWHdIYxffMlxtbL&#10;2ndoNZX8Quj07O2HQwUVj6/m0/1Xn5NnPpVJzYS11eNdvup/4LyniqnfdsUK22ukqETr0A06fDrY&#10;Uuz01Tw7buXRYvPRTAbSnb5qv+Qp/1H5yaZLjZ3Hl9peC0W1tPC+VBwpVxX/Kp/x175T5qstM59V&#10;QgghxB7HmpoeLn/NMWQeQdUYc8S4+A8HjP3XzrTNdCgqVh24brqx6ehaY/7O841JFcFCvSqo+I7f&#10;mWQF+5gYNONorhSyrtXXMXXj5UbgIp/ttVNUc4XB6VYf2F5XwPfVfuTx12wyH8ekY/Sao1095bVf&#10;0O8HuuusOLeSXXaoVtGu40uMM/dgloNgXiNlm3+4AzVny6OZHnxCCSGEkJhY06l0/Ylxbv+Jm1H4&#10;0gWb+qoxpm26nKIiasqGYzbPDQY8qf6X01d7u8db7UCfXfOha7egldvtqzlbtyBDUzYeMxZWHjDW&#10;n7/Z2CkFtANiauwKbxRlJ/Rdx2jTqw9uV9PpTQpNxySGOFD7jjxrK+XRaxcFfDHI2a71x9aim4S+&#10;BghGec6OC42FVQeNJXvPNlaKaV53/haKiktnHdihnh88R7O2Han3rkAef/WjZb6aiebjSAghhDSf&#10;Ectqu8HIOAO1M5zemlViBFZTdbpi09LP/GpXyV+2bth+tt36lJa3dpbTd9yVLH0gWxJEXXjk/fD4&#10;ar7p9lZ/aC2gUQ01M3C57XKqThht2uOv/YLDe2yKo40H10oEjkDNQLfv+HxJG2o8/pqn3P7a3wf7&#10;JNtff6prcqDaOLFlifprt54KSgzwb9y+6h+6vNUXiaaPWX+sxHzkCCGEENJavLkry//mrrx/vbW7&#10;s3GqKvfDN3ZlOcxVhJAIvLM1y/FWVc77b1bm/eiNXWlJPeAaIW3FG5U5DyJveasy73fvbE4bZC4m&#10;hBBCCEkejDVpnd6syrpRFVosOlWZ9/e3qrKXmJsRQsJ4c1enWVLQV5VJ6p3ZnfOnN3dkjTdXE5Ly&#10;vL4trc9bu3Ofq5e3VOV++Nb2zEnmJoQQQgghycFblTl3Wwst4XqzKudy2YwDfRBi4c0dOTNV5VH4&#10;O1OV989Tu7K2mJsRkrK8ujN7BKIpGrwjojcr8/7x1p7speamhBBCCCFtx2/K0wpP7cp52q7QAp2q&#10;7Pyx+lvV+X+ndud+2vwaISnPm3uyV8t78Un4O2PVqarcb73rT+tifoWQlOLUrtwZp6ryPrR7N6x6&#10;szKnVjZnxSshhBBC2oZTO9L6SYHkD7pwIoX8n7yzO3tRvQLLjuxhUrA5Ffq8O/vH7ENJUp23K7OX&#10;67740KldeS+F3pGqvN+/VZX3St3nnLfwrplfJSQlOLU7+5B+B05V5n0sec0Vde9E3j9PVeVebK14&#10;fXNX7mfNrxJCCCGEtB6v70477dTuvNdDBZXKnPte25CW+86e3Bl6GYRt36tM6/r27txn6rbN/qHa&#10;CSEpyJuVeXv1u4AC/9uVuT4p6J+llyFsFO+SbPe10HZVeX97c1f2YnMXhHRoTlXmHJdnPhRNIe/C&#10;6tcq03qHPosxlmWet3dnj0TFkV5+qjL7cVa8EkIIIaTVQWvwW5W5a6UQM9RclGZnjIEanEsKMm/u&#10;ylvFggtJVd7cmz3szd2d39bvx+uVuQEsF3M81WoEfmWGT79dlb1S3pu/nqrs/N+3qvKOYRkhHZ23&#10;dmWvwXP/RmXOz97dnXMaltkZYyz/7Z607pIP3WK2Kl/909VpeVhOCCGEENKmRDLGhJAgv16Tlv1W&#10;VfZwKdDnmIvS3tqTVQojoN+b13ZljzJXEUKESMaYEEIIISQpoTEmJH7eESN8qir3vdC7U5kzx1xF&#10;CBFojAkhhBDSrqAxJiR+XtuRM1gK+6/p9+aNypyN5ipCiEBjTAghhJB2BY0xIfHzWmXn3qcq60am&#10;fntP7nnmKkKIQGNMCCGEkHYFjTEh8fPahrSep6rqRm5/a1fOteYqQohAY0wIIYSQdgWNMSHxgwG5&#10;TlXl/ST07uzKuddcRQgRaIwJIYQQ0q6gMSakabxZlfvdUMG/Mu9HmOLMXEVIykNjTAghhJB2BY0x&#10;IU3jVGXup+sK/p2f+r/Nad3MVYSkPDTGhBBCCGlX0BgT0jTe2p17JFTwr8x74Xc704rNVYSkPDTG&#10;hBBCCGlX0BgT0jRO7crZZCn4v4YpnMxVhKQ8NMaEEEIIaVfQGBPSNE5Vdl4YKvjvzn33rX3ZI8xV&#10;hKQ8NMaEEEIIaVfQGBPSNF6r7DwhVPCvzP3gzd1Z481VhKQ8NMaEEEIIaVfQGBPSNH6zPa0wVPCv&#10;zPv3W1W5k8xVpB3z++25A0/tyltBNU9vVOZsDL0fNMaEEEIISXbe3p077VRl5//qAgxFURRFJVJv&#10;VOV9JGbZZWY7hBBCCCHJB+ZefXNHzsy3qnI3UBRFpax2592tjdyblXmvvl6ZM+e1yqwJVPP19va0&#10;QjPLIYQQQgghhBCSrLy9J/c8bYxPVea99Fpl597mKkIIIYQQQgghpONDY0wIIYQQQgghJKWhMSaE&#10;EEIIIYQQktLQGBNCCCGEEEIISWlojAkhhBBCCCGEpDQ0xoQQQgghhBBCUhoaY0IIIYQQQgghKQ2N&#10;MSGEEEIIIYSQlIbGmBBCCCGEEEJISkNjTAghhBBCCCEkpaExJoQQQgghhBCS0tAYE0IIIYQQQghJ&#10;aWiMCSGEEEIIIYSkNDTGhBBCCCGEEEJSGhpjQgghhBBCCCEpDY0xIYQQQgghhJCUhsaYEEIIIYQQ&#10;QkhKQ2NMCCGEEEIIISSloTEmhLQ6Y73Vvdze6uVu3/FPuXy1P/b4a55x+2reoigqNsk7c8rtq/2l&#10;y1/7A/lc4/admD904Z4c8xUjMeJwbM/y+I975B5e7vHVPuTx1z410Vf7mvVeUxTVuCQff9Hlrfm5&#10;M1B7u9t/omLC6mNF5itGLDi91adL2afK7a/5Gu6XpOMv2N1Pqu105ZZFf9XG+Be7+v5ngf/Cd+22&#10;o9pGkkf/XvSEx1t9n9Nbc8Cz7tpR5utFSPtiYnmN2+Or/v7EwAnDqjUbDhj7NwWMy7esNG7cNs+4&#10;fdsMiqIa0TVbFxmXbl5l7Nu00VhRcX6998nlr/mHFLi+Mcl7+SDz1SNhoNDu9l15q9tf+zfrvVtY&#10;ccTYs2mzccnm1UbN1qXGbTb3nqKoOn1m22zjii0rjPM3lxv+DfvqpUWQy1/9tNt3fL756qUcqKyc&#10;6DuxRwr0v7Pel2mBY8aWTbuMCzavV2WfW7fNtL2/VOvrGzvKjB/uHKp0csdI4wvbptpuR7W+arYs&#10;My7evMbYtmmnMSNwRb20RszyO25/zVHHkqOdzdePkOTEGahZ5fHVfKAf3rM3bTAe3Tlc1cZRFJUY&#10;vVrV3bh/x3hj88bKuozCW/OqK1DrNF/FlKds3eVDEJ2i78/aDfuNu3a4jN9V9bC9pxRFNU2P7zrN&#10;OCIFWEta9HdJi3aar2KHZ5x/fxe3/8Rt+vpnBS4zrtu60Pjlrr6294uiqKbp+cpi45ZtM435FUfr&#10;0htfzTcRmWq+joQkB641R3u7/Cee1g/qlVsWS+G9m+2D3ZH1jZU5xjObc23XtZR+tSXXeGlbnu26&#10;SHphW67x5MbWO8/n5Bxb83ippFeqehoHNgXkvas1xAj+z+2r+Zr5WqYsLu+JY25/7cdIi7Zt3GH8&#10;urLI9t51dN27Ksd4elPrvne/3hp/evSb7XlMjzqA3qjqqiIvJgVqVDnA5at9DeHE5mvZIXGuq1mE&#10;igBc7/yKi42HdoyyvTcURSVWqJBbWnFBMK3x13ziKq/eZb6WhLQtqg+x/8TbeDgRnvjzXQNtH+KO&#10;rq8syzbkdoS0cWwn2+0Sqd/tzDNKSzLU8Yo6pxm7HZnGa7uiF0o/d2bwXDPT04x5gzOM73lzjevm&#10;ZMVdoI1VV83KUsfLkONN7pdh/LSChdJE6/7tE1QGAYkpfGzowqPd5Z6nFME+xCe+ru/DzVvnGG/a&#10;3KtU0L0rc0JpEXTWiJZPj5D2TOxblx7tKs1UaZTdtlZZ06NZAzOMk+tzjROSZrRUenTj/ODxdHr0&#10;Q0n/7LajmqbnKouNlRsOBQus3uoPnWuPjZH73eFw+U8sRHcWXGfVxi3Gqd1dbO8H1Tr6fYS05okN&#10;ucYlU7OMg55Mo0+XNKNrVppRMzPLdttY9PTGXONaKS99cUlOi6lWzq9bdprRt2u6ccvCbNvzoII6&#10;vmWFSms8vpr/uH01O8zXk5A2YsbRTCmEP4iHErXET+zqb/vgdhQ9uznX+LmNqbtvVbbRTRLbEikM&#10;PiqFuvD1kfSqFCQ/vSBbtbLYrY+mB9bkGF1w3C7pxvVzs4wvSYJq1dT+GUa/bunGFdOz6hnmr5uF&#10;5tGF6cYLUvhEhoJtUFBEYnzV7CzjjcrEFUpvNguiI/LTjee2tExhlxJzvGO8MTlQrVqOPf7a7eod&#10;TSFQUEXmiNZz9BWzu0cdSZHSo2+tzjF65qQZhXlpxrcljQhfH0lII/Cu/rKJrcwPrctR6UeBHBdp&#10;SHh6NGdQhjqnS6ZmGr+3SY+G9EyXY+epdLFaCoZZGS2THoUfz24bqnl6ubKXMStwebCirrz2iRHL&#10;DnZTL2kHYcTmg91g+nF9/g17jVcqe9reB6p1hLRHfhalTlKO2evMDK17aXueKit9Y2W2MaxXunFa&#10;j3Tj0fLY08Vw/XZHnnHDvGzjcikzQVfPyTZuW5STUK0a3kldy+lyrndLevVmlf25UJ2N16u6Gjs3&#10;bQtWxPlrPnGUHxuJd5SQNsHpqx3h8da8iweydstS24e2I+l75blGfm4w4UWLSG8xpAXyWW6FkSHC&#10;53iUm1nXorMhzhZmhFCjkAkze647M5RIa20dnxna9/kT67fc3LYoaFTHFKWrTEMv/2kg1xgsCbGj&#10;Nwxs0wrHdrphbvB444ozjJclU7HbJhGqKqu7ZqtmDsyoVxDvqHqlqofhNQfFcXtrXpZrTykw0jSu&#10;fdWGg8bzKRA+/X1vrjKhSAOK5C/SFKRLciualB6hkg3fhdaMjC89QmGxX9fgd+3So0rLu3lA1r9i&#10;SQfCK+r0crT0nC7mtbQk3fhVAruooAXG7njN0XfX1hXMoymnU5oxd3CG8aRcn92+Ooq+uG1KsLDq&#10;q/6wzFdbJtfeYfAETpyPa4O+vWOs7fWnuh7z5RrFZnqkhcoxu20hrLNui+gTpCt221qFirzhYnhR&#10;kXZrlNZVlOGQXpaPbvkImmhCZd8dS3NsG0YumBSMsos3HU5VPbWrn3oXg+lNzS1y7whpGzz+Kz1u&#10;b+0/8TCitcruge1I+qEk9EWd043+3dKNnyUgHFgXFif1i5xZ2AmtRAO6BTMPmON1ozrVaxl6XRJc&#10;ncmsl3XW70Lnm4muu09Gg5YYZCzIzJYOyzAe9yem4HbIEzweCu8tFbZ4u2n27YSMEC3zdt/raMLo&#10;1TqDkGtPKXQl3caNVcYbVR0/rDHR6RHCDeU2xp0eob/ukJ7Bdw3p0VkjMox7xOzq9UiPzjw9mB6t&#10;HN4wPTo+I3hcZ++MBl1BvrA4W4U/LhmaoQra1nVNlS50olLz+1JQttsmXn1ZCrjYp1W69QdhmxfK&#10;MUcUpNdbj3QJYeR2++sIwsCbUwLHzfSodoZcc4fB5av9qk5nOaBfZGGMAzQmyC0LaUJxupjB7z1u&#10;OgAAamlJREFUuvcc/2OZdZtFkl68Udlwf+FCA4E235+XtMJum3A9sDrH6J6dZkwfkNHkijE0Igzq&#10;nm6MK0pXkXkL5XzjFdJKfb24Bmt4N41x/JobuCSY1vhrfyD3jpC2wWqMH9452vZh7UhKBmP8qfnZ&#10;RnZGMHN5VjIF1KguFxOL/fSWAuSPxcwek4ImWowQKoiwShTAsL6XZFBoEUbNqvVzJA3tlW7cvaLp&#10;IUdaDinw4njQzS1gUH++IdcYIJmUPgZCtnX4thbumV3YaUfT/s0VZkE0dY3xlo2VtvemoykZjPEX&#10;pTCKd+uMwnTV9w7Gdq0U5rAftGajVfuaOcFuGoO6pxnfWZMTipRBmDTSGf05WnqE9Oyry5ufHul+&#10;0FBz+hpaZWeMw7dBOOSSocF7ozV3cMct+H5fjPG0FDDGdtdO1QnmGJEfcttCQh6NssvrYn4REWJd&#10;t1LKM5H6C1uFcGiYS0SqoNxjt00kYZBUnAPSHqR74RVysQiGHpWCUKLHQ6Axjl8LKy4OpjU0xqQt&#10;SVVjjJaGq6WwF96HLl4tGRIsoMVSEIUJHlmQbowtSjfuP6thnxO07iJz2OcMmm2ERqKgat0G+ury&#10;OsN457IcY8v4Tk3uUxiLfugNFhhRa4wWIWSCdts1R7ogrnWf3B8sRz8j63JUJrTUgD7JIhrj1DPG&#10;iUqPfKOD71Es6RHeI7xPMMR26RFaVH4k6dHhycECHt5/u4opGGWsx4A4qMTbPK5Ti4YY6/Soh5hy&#10;tPSgcGy3XbyKxRg/Jekx+jfq9aigvL0DtxjTGFNaMLpjJa2QWxdS3y5pxkBLhTZ03sS6vsGRhAgU&#10;DKSF7VcObxhlAiG6JJq5xn5ump+tzDEq93Y7OhkvW7qWxSr0b8Y4CDD5duvDhW4kW6XcVT0jK+Lg&#10;hDTG8YvGmCQFqWqMUchD+N+ti7KbpYWnxW6MtVAgRQHysmlZxuoRnVTBNLtTcAAu3UdwUt8M4wVL&#10;qJIWCpyn9wiG8F0/N1ggQwaCAm6/rukqjPpUAgd5QJg2+tLhnFAri/40KAwekEzNbvumCIOGYf9a&#10;hyz7Rq0wWr2t67G99fsdTTTGqWeME5Ue6QqmeNIjtPro9AiFOIQW5klBE+cEYX+IGLEbswAVchgM&#10;B9vcNC+YHv1EDDXSIwxkiOiYRA66ZU2PLp6SZXxteY5KO9En2m77eGRnjCMJfYxRCE9U/+ZkFY0x&#10;ZRWmZUPZRG6frQ56sqIOMoUIFOTpqND6QYRuWaiUQ3lG73dK//RGDS+MNWbl0OkVWqEDYzoZ31mb&#10;o8yz3XesenBtbr3xGeJRqaR1dvukMY5fNMYkKWAotf12sSqeUGrUfo4xa1w7SyJ85pBOajREtEI8&#10;5s9VNa8ITYzUlxb9arBe9bcNG6ACmRFMMdYhU0iUQb5zabYqeGJkRbRevy4Z0ILTOqmCYaz9gRpT&#10;+OAeyCzDC+AIvdTrIYSYo5XKuk1HEo0xQ6mbqnhCqVGYDKVHYoTnn5ZhXDU72/jFhlzjcSmYDpd3&#10;EctR4LT7/sPrclV6hO+jks5aIMb/6FucK+kEtrlG0rlEpEdfWx5MjwbK/fqF3C8Y5TUjEpMe2Rlj&#10;axh4ifxO4euRFqGfYywDDLVH0RhTViFvRsWZ3D5blY/qFNGIwhC7+mSoSrMHxbDabaM1yxxfBVPU&#10;xRsi/Wh5ruEdHUwTsA+kQRjDpbF3FGkZ+izHOsq9HmwQU22yxThxojEmSQGNsf12sSrePsZInHEO&#10;+jNaRDHiMlph90aYwxgJ/bT+wYwCrSVPbYyccKNQq0ObUCuL1hu77WIRalFRCEXGEj7g1mw5Zxyj&#10;dlbzWm9RqMR+tPp3C2Y24dIFcC07A91RRGNMY9xUxdvHGIU6jPKqP1vToy3jOtmGMqKCDt1BcBxs&#10;21i/f1T6DTX7JsJcIjTbbrtYpNMjVP6dlIKsdd2KYcGW8iNTmp4exRJKDT2/Nc8YL4V763a4H2hN&#10;s9u+PYvGmNJCVzC8w3LrQsJAfNYBqCCYUtvvS9oSrQIJrcLoHoH9YA51u22gVyRdguzWWRXL4F8Q&#10;jXFyiMaYJAWpaozl0hOqeEIXobtWBOfjw+Tv181BuGHdOvRz+dKSbGP+4E5GphRQUbDEHMexDGYB&#10;YV86c8Goi5gyxW67xqTnUcUo1HbzOmPKJhSKMe0V+kSHr49Fexz1+w/HK+s8hx1JNMapZ4zl0hOq&#10;eNOje1flGKMK0lX0xolZmHO4/nqYxsVDgukRKt6wTTzp0VJzwKqmpkeIEEF6hL7Y3xWDHL4eff7m&#10;Dc5QLbjbJzQtXYjVGEMw4Nbt0O8YlQB227Zn0RhTEMY+wcCgctuUUDmFNADrUPmuQ5i1UP6It68v&#10;TLOucEKZorEuGJj6zdU7OF7LY77mR48hfUF0TLzGeFxR5OukMY5fNMYkKWCLsf12sSrWFmMk8ih8&#10;ooUUoUhXSqZi18KAcOWdpZ2M6+dlN6kAqYVCK/osotY1ngwKcwVvGhe8Joz8Gq0PHRJ/mGMUeDGA&#10;j902djq5LkcNnoPjQH27pkVt3a6dWb8wCiFc027b9iwaY7YYN1WxthgjrBkD3CE9wlzAx6Zn2b7r&#10;iMpAGoJQ6eac36uSrmCgGpjWF+Pol4sIGj23OQrNaHWy204LA4UhPUJ6gvTWbptIsjPGMARamOcY&#10;XVhmmNEyVh10R+9b2R5FY0yhIgpjDsgtCyl8JHjk3XjnrNuUlaTHPJjVDyQdhPHGPpAm2m1jJ3Sf&#10;QN9glFV+GSVtaEx6BgyYY6SdqPSPVZdOs49SoTGOXzTGzeB/aWkT5Yk7H3/NRQ34JC1tMyTblJiL&#10;2hQ5387mv3Ej1zBMvt/J/JhQaIztt4tVTZ3HGDoqhdjRBen1BtmCuUQGYWcSn9kUnHdvzuAMFdZk&#10;XYcBvZBIY/11c+MPJ0QBFIPvIAOEYcVAOqeqYivAotCow7fRohPL9CkojGN7rVgH1NIhk1qD5bgt&#10;OQJuW4jGmMa4qYo3lNqqanlvEcXyq8117/2Da3KM/hEqrRBSjFH2I6VHC07LUGnZ5U0YLA8ViTDS&#10;SI9Q8L1R0qPGWpCswrnq8G20ZKHgGksBHSP84zvxCP2yO/IUcjTGqa17V4rxtJhidLG4JWx8Ey1E&#10;TFgHzIJGSHqCcovd9hDSCQwYiP2e62papAfSIZhwHA+VeKiEs9uuMaG1+lMLslWkXqzpTDTRGMcv&#10;GuMmIiZxwH/T0n4HifE9Tz5XQvL5fvn8tuhsUZXoP7LsTr0ekmXniF6V5c9+nJa2yNxlqyDH/Ze8&#10;JU/JsW+KU3eI/i46KdeQb+4uYaSaMcYAEJibM9HG2NM3I67BZT4jiTAGhzhfEk/rcmQUGBBngJyf&#10;XYELrToIH8LUBBiVNXz9/atzVGEQNZ9I6MPXhwv9Y2BKdf+aO5bGboitwnc+d2a2mscU9wOtNiic&#10;4xzQCh2+PY7zGclgIfQdDF8fSQjh/oJkXvq7+B/L7LZtr6IxpjFuqrQxjjc9QssLTCjGObAuD4Y3&#10;Zqh5RjFSrHUd9NL2PDWgDgq2509smB6hPzIqy5DWYS7k8PXhQlqBijWkR+jP+EV5v5uaHuG76KqC&#10;+4EQa5znDWKwI/UJhDBlHtLQSHpgTY6a09Xuux1RNMapLZSXdF6LUe+jpVFIL75syduRrthFxuE9&#10;RyRIP0n3LpiUafzAm6PSQsx6AVXPyJZySbaxY0KmsX5UJ1XJhqkikSb0yKlv1MdIeWj5sE5GHzPU&#10;e2R+ckzpSGMcv2iMm4AYw3FiMF+TvxtEXcQsfkl0jzx9E8xN0uTzFbLNL2R9X1neUz5/T3QrPpub&#10;tAlyTu/Kebwl+mmcekb0b9FJXI+5u4SRasYYfWdRSINQeERYXHOE0VHlNhoTpPCIfm52x7TqhrnZ&#10;qqCI72wdb19Duuj0YKtoeCFVC+ZYTy2w32aaEoQbaoO6arh9Afl2yeRgsDGo1X5Xpqp1Dd+mKUI4&#10;IQqPC07PUP2QcA5auOd236Hqi8Y4dYxxotMjVG7JbVRTwMUSsowR8EvMAiVGgLXbptycGxmDcdmt&#10;R2FYpzd2/f6RXmEqOqxfPCTDtkUGXSKcvZkeJZtojKmWEAYUDR+0CxokxhfpIIzwtgmdVLQJwpxR&#10;wYZIkMYqtbBOl8cipWWJFuY/RpQNDDrGX+gj6ZxWrqQvOJctEcp5VEPRGMeJGNutor2iEjGZOkx6&#10;AZaJabzd/P8cEUwz/tdaJOvR8goTjRbkUnOXrYppjKvNj3hj0nF+svwJ0YXyuV6otKybItv/Wdb9&#10;Sf6PGDLeXFLNGCPkb8OYTkaFKBG1iphKCNMXBacjaXx/GLAFhTNX7wzjGytzIvZJ+8yCLBUS/aUl&#10;kVt8Mak9wpcxnZLdeky3gsLx6pGd6mUmqJXFIDVoOYnFyDdXJ9fn2LY0UZFFY5w6xlinR4EzMCdu&#10;89+Te8/KUSPXXz07ekjgNbOzjHTJitASg3QsUnqEVh9EsNy2KHJ6hPBKhFFG6vOPlqbSErTs1B+s&#10;RqdH181tncgPpkfxicaYaikh2uSiyZn1upI1V9gXxiJ5xGbA0NYSZvBA2QzTcd69IidhodmpIBrj&#10;FkJKkoYYyX3mxxCybJ25rkVajmW/3UVHRePMRfXQxljWj5X/fyb/f0Z0tehTol+JbjY/Qw+JfiO6&#10;xfx8pwgt5dPN3SWMVDPGFJXsojFOHWNMUcksGmOKolpLNMZNRMxhnhhLhBj/QfSTcMH8yl/0I663&#10;XL7zsrnuK/I3y9ydQtZtk+UwpgmRnONic9ch5Bh/lOX7ROPl/w/k727Z9oT8/5z8P0fOqbd8fkn0&#10;VWwvy2bJuvflM/oYK2Ms2wxWO0sgNMYUlVyiMaYxpqhkEI0xRVGtJRrjJiKGcaUYxn/K3zJzUT1g&#10;fmVdgxZjjawbJZpjfmwV5JwwFjzOa6lIGWMxut8VXSX6unx+Wf5+WvRnEczx46IXRDeIrpLvPiXb&#10;vC5/aYwpqoOLxpjGmKKSQTTGFEW1lmiMmwiMrZQWp8rfSWEqF/P4RxhQMZPX2qxXkm2eFj0h/w8x&#10;d9niyLHmyTHRV3iM+fksOccfi66D8Y2iW0UvyHd2q50lGBpjikou0RjTGFNUMojGmKKo1hKNcQIQ&#10;s9hNDOdBGGIxjxhYqz+Msfy1bTGW5cNlu0/k75nmohZHzidDjvl10YPyfyaWyfEXyjn/W/7uEc1v&#10;TPK9K3BNot5qhwmGxpiikks0xjTGFJUMojGmKKq1RGMcJ1JCxCjOw0TniFn8gRhL9Bk+Xz4PNzdR&#10;wETKMmWM5W+BCK2zCEl+H+vk7+Xyt14f45ZEjr9EzvXncsxcc5E2xggH95iLIiLbqEHDRDTGFJUC&#10;ojGmMaaoZBCNMUVRrSUa4zgRg1gsOs38aIus7y7G9yX5GzAXtSlyHsNF5VK6rTcVk3weLOd5p5hj&#10;TDu1LoqOiB6X73Q2v55QaIzbt57YmKvm93tuS+zTE2CaJnznxTimh3l1V56arqV6ZrZx7Rz7Sfup&#10;xIjGmMa4peTuk4FnKqSvLc+x3a6pak56BL3ayDylVr0m6RGmkUJ6hKmpXtjKKZhaQjTGVDLqV5uD&#10;6cVTkt7YrbfT65WdQ+lMrOUXTLWEKZeQzkC/2MB0piVFY0ySAhrj9iUUIqtnZhlDewUnsrcKE+Hb&#10;fQf6oS/HOK1H/e218jLTjKNTs4xTEeYx/c6aHKPAnIwf294wN/JxqOaLxpjGuKU0urC+Mf7y0uYZ&#10;Y8yRftWs7LjTI8wlPCK/4Xeg7E5pxnkTM2NKj3Jk2ytnZdluRzVfNMZUMuh1MaifPTPbKCtJV3Ov&#10;y88XUmVZpu13IBjo6f3rp3laGaINYzsZr0SojIPpHm6mUZ3S04z97sjHoRIjGmOSFNAYtw89KIXB&#10;vl0bJu5WRSqIwkyjsIlteuSkGSfXBwvDmGC/S1ZweXZGmnH/WQ0LybtKM1UGgm3GFqWrjCZ8Gyqx&#10;ojGmMW4pJcoYP1qeY/RrYnqElpvu2cFtumSmqbQNy2Gye+UGl2dKQfS+VY2nRyOl0PpkHC1GVPyi&#10;MabaUr+oyDXGF9tXoGk1ZozdfYLfhZmGsdbLnb3r0sGrbCrWamdmqUo3rC/unC7pHdOZ1hCNMUkK&#10;aIxbR2j9+IE3V7VubBjTyVg2rE4B+YxW4MbCe25dmG1kiXldPbKT8a3VOcYvN+UZQ3rWzzAiFURR&#10;+NXb9O+WbvxMMhu9bpqlNvUzC+q+/0Nfbr2C7wWTslStrV5PtZxojGmMW0p2xhhGFYVGpEM6Tdox&#10;IdP4tmlY7XT7omxV2bZ0aCfjGytzjBe25cm+Y0uP7hXDq7cJT49mDuwUWndiVt33f+TPNQZ0q9v3&#10;2a5MFU6t11MtIxpjqqlCeQaRaKjMqhLzetm0LOMZm4r1R9bnGhdK+QLb4b1GNIlehzQIUWrTB2So&#10;rhPo0jWpX/00LJIxfnFrXmgbVMQ9vK5uv/iOXodWY70c51daUrf/8lGdVMOCXk+1rGiMSVJAY9zy&#10;2u2oS4SjaWjPtJj6zcRjjJ+VxD4jPbhNN8kgHloXLPC+sC3X6Gq2GOuMA4XNnZJB6X0O7pFeL6Oi&#10;Wl40xjTGLaVwY9zfYjbt1DMnzfjiEvt0xap4jDFahnPN1hj81ZEqKIDqFmNEsjy4NkelR3uddenR&#10;ADHSPxaTHL5PqmVEY0w1R4c89cs+BfJ+P2pGrEF3LMs2OptlEAgtuS9JWmLdR7hiNcbQgO7BbdBi&#10;fPP8upZhR+9gWoVy0efOzFYNF9fNzQ5Fo+A87SLoqJYVjTFJCmiMW14YtGrV8E6q1Tc80UfBDy3I&#10;8lOEtG5UXQ1mJMVjjCEUMvt1rb+91qDu6cZXJYNCy83p5j7Rp+ZcF/vUtIVojGmMW0rhxhgFxoWn&#10;Zxgn1+dK4TBPDS6DtMq6DfT1lY0XEuMxxhC6cyDdsW6vhVZkpEeoIBxm9l1GARatTnb7olpONMZU&#10;c/SmGM4LJ2fVe78RafJNMZ1Xzam//KwR0cs9UDzGGOmZNsHhQmPAVbOzjN/uyDNmDazbJ9I/tEzb&#10;7Y9qWdEYk6SAxrhtpEdVhL6wOLtego3Cq913rIrXGIcLhU5raPTl07NUP2PsB31qEN70uJzb0qEZ&#10;Rqa5XAutzOe4M42XOTJ1i4jGmMa4pRRujD93pr3h9Z9Rv6VnphQc7bbTitcYhys8PUIfP50eYaCt&#10;h9blGk/LNig8o0uJ9TjoC7jHkanGTLDuk2q+aIypRAitsgiJlttuK98ZsZvReIxxuJ7ZnFfvOHcu&#10;zVZRdNgP0hGEayMEHGHd1pZsCK3Ja0d1Mp7ZxIiVlhKNMUkKaIxbXjCY8wc3NJiR1BrGWAuFzTGW&#10;Au16s0/Nd9fmhMKsEdb4fXPwiQNiiPW2GBQjfH9U80VjTGPcUgo3xpEG30JYoXU7DLzX2BgIzTXG&#10;WujjN06OpfeB1hukRxjsS4dZowCLijtsf9jSGoXW5fD9Uc0TjTGVCCFUuSIsMk4LY5nE04+3OcZY&#10;C2kZymR6H1P7ZxjPb8lT080NsszecdvCbNXqfeO87NBgXBjA1K6vNNV80RiTpIDGuGX1I1+uUdK5&#10;LqEtzEsz7ggrjD68rm4wGqg1jDEyqhOzskJ9avLD+tScN7GuwLnKEuL0PTHI2Fav+5Gv8RBLKn7R&#10;GNMYt5TCjfFnI7QYLzq9/nbRwhyba4yRHl07ty49gglGuKVeXz2jLj1aMazuXDBIYFHnuuN+Twy0&#10;Xkc1XzTGVCK0q7S+Ke7TpX5aMah7mvFEjHMEN9cYY/A/a6X/py2Djt6zMieUBlkr2sLLWzDKeh2V&#10;ONEYk6SgzFs91uWv+TMexlu3zbR9WKmmC4mwNfQPrbPWfsYIy1kuBT29HrIzxuiL/POKuvDrB1bn&#10;GAO71c9cLpmWFVqPbSON2oraUk/fuu+ulOOHhzFdPbuuxcjdt+58MEBXaKoVyVSs36Gar9equhoV&#10;G3erzMHtrflA7nNK4fFVP4lrX7/hHOPlql6294hqusKNMfoYI0wafYjRanOPpFeusD55GIArvNCK&#10;tAX993R6g8q98LmMrekRxi+IFCqJ484YUHdeML7h22LEfL2+tKSuwIq+0WjBwXKks7GGY1Kx6d7t&#10;pSot8vhr/+0qPzFJ7nOHweOrvVIVwkU/2TXY9vqp5gn9d5G+yO1WwlgBqORCt4nwsVXwHiO6zvr9&#10;N2Q7TMmm0xEI77/1e/4zOtVbj8H9rPuwKjAmMzQPMgb6em5L/W0x44duGYZ5ftXcF8pTGPhPHxPp&#10;nfV7VPP1cmWvoCkWOb3V98l9JqRtGLP0WInLW/siHsazKg7aPrBU04VEGkP+y62OKGQW1kKlnTFG&#10;64v1O7EI0yOE7wf9mfXcxcgA0PcnfBsI5t061x9Gr3X3yTA6m/2Eusk+OGpj4vXErv7GooqLgsbY&#10;V3uP3OuUwuM/cQzXPjNwufHYziG294hquqzGeEr/DMPTt75RDtegHvajQMNI223fmC6Z2jA9uiOs&#10;j19j6ZFH0h+9r5Iu9dMj9F+8cxnTo0Rr96bN2hi/Weo/PlTudYfB7Ts+H9cGXbx5je31U00XKrzK&#10;wirZznFlqdBkvc3BsFGrUQn3gGWaOGtFfKxaM7JhdMsj63OMYkvkHtIimO7w7VCxZh18EGbdJekM&#10;Iv3wGYOS1sxsmI5Rzdent84OGWNXoHqP3G9C2g63r2a1fiDP3VRhvFbVzfbBpZou1JCiNeaK6cH5&#10;+tBX9yYxu5jbGBnFLzflKvN7w7xsyRgaFkTRyovQQuwjFmHb8D6Bdy7NUfMBokC8X47/oqXlOpKw&#10;D5wXQqsxl/FnFmZzupQW0u+ruhu+DXt1QfQdp692hPmKpgxjVx7t7/LWvoJ7sLjisPFSZYHtvaKa&#10;JvTNRRqDUMDHfMH3GIVB9DXGXKIbxmaqtOFTC7IbTR8w8B4qxuzSHjshciZ8RP77ZBlak+JNj3Bu&#10;Oj1CGOQPJQ2125Zqut6o6mJcsWVFqKDq9tccMl/RDoXHV3MTrm964JjxrR3jbO8F1TQhygRpjZYe&#10;p8QqlH1QVtHbIF161LIdGhYwl7FdmhJJCHu2HuMXFcExXpDObB7XyXg6bL2dYOrvXpFjXDU7mNbg&#10;vBqb151qnr6/c5gxJ3BJ0BT7TnzHfD0JaVvc3uo1YpD/hQdz08ZKFkgpqhX1i10DjaUVFwRNsbf2&#10;I4+32mG+mimHpEP95R78CfdiXuCocXLHSNt7RlFU4oWK8YOb/JIW1Rouf+3H8j6ebb6aHY7+q8/J&#10;c/lqvoO0BqrZspQNAxTVSjpV1cX43LZpxqRATbDs4z/+s/HLr+1pvp6EtD2e8tphHm/N83hAJ8uD&#10;itbjZyt72z7QFEU1X4/vPM0IbNijMoVgxlD77fEbmDGMXnO068RAzef1fVlVcch4aAcHB6SolhL6&#10;+B3dvNqYag625fHXnEqVCrpJgRNrPP4Tf8F1zwhcYdy0da6K4LG7TxRFNU+vV3U1vrhtirHAHGzL&#10;46v9yOU/sct8HQlJPjzrj3s8vpqf6kIpanO2b9xh3CyZBfr9vcoaVYqKWyh4PrJzpHH11jMN/8Z9&#10;8m7VqvcLQn9itJSaryAxcZRfVejy1dyi7xPuGcZCqN2y1Pj2jrHGrysLbe81RVGRhYLpT3cNUq01&#10;ezdtMqYEqkNpkct74kX0v5XXLz34FqYKRzPc3potUkhX0SrQ7MClxgWby407tk8yntzV3/ZeUhTV&#10;uH5V2du4Z0eZcWTz2pAZhjz+mr/KO3fI4dieZb6EhCQ7klFIBun2196pQxupJFfFlfbLqaSSy1f7&#10;mtNbc8NEX22ZvGgpVgBtGp5AzSi393i1FFxftrunVBKI6U+7E0a/xyiwkh6tYgE1yPjlR3u6y2t2&#10;SMH9Md3FjEpSMc1pN1Kj23trfu7yVu+fsPr6IvN1I4SQxDPj6NHMhRc9dNOiIyf/vvCik2eaiwkh&#10;pMVh+kMIaW3mnP+d4ZLmnFp00cM/nrHvPvZNJYQQIqy5u9PCww/fdebFjxhaCw4/fEna0aMZ5haE&#10;ENIyMP0hhLQyi44+PHvB4ZP/1mnOoiOPvLrwggfZCkkIIanMjKM/KFxw0UNPWgulwUzi4f8tOPLw&#10;p8zNCCEk4TD9IYS0NgsPn1yz6KKH/9kg3Tl88r15Fz48wdyMEEJIKjH3vG8NXHDRw++GZw5WMcSI&#10;ENISMP0hhLQqiE658KHr7NIarYVHTn4y//BD68xvEEIISQXmX/ioe9Hhk3/WmcGCIw+/bs0cpED6&#10;bOj/IycZYkQISRhMfwghrc3Cix75kk5XFhw++dGiix55L5TOWNOcww9/vODwo1Xm1wghhHRkJHPY&#10;bM0AFh45eUA0Qy+D5u1/uMvCw488VLfdyffmX/S98eYuCCGkSTD9IYS0JnPOf6Rg/uGHnwilJ0ce&#10;eXXW4W8PWnDRyWdCyy5+dN+Zhx+evuDwwx/oZQuPPHznwj0P5pi7IYQQ0tGYtf/bg9ACoxP+eYcf&#10;3oDl4QVTtbEgyy9bePjkf7FswZGTD5uLCSEkbpj+EEJaG0lHztbpyMKLTv5kxtEf5GJ5uDFW2x5+&#10;cIgY4j+pZRc9/M95Rx72YDkhhJAUIlLBlBBCWhqmP4SQ1sbOGBNCCCEsmBJC2gymP4SQ1obGmBBC&#10;iC0smBJC2gqmP4SQ1obGmBBCiC0smBJC2gqmP4SQ1obGmBBCiC0smBJC2gqmP4SQ1obGmBBCiC0s&#10;mBJC2gqmP4SQ1obGmBBCiC0smBJC2gqmP4SQ1obGmBBCiC0smBJC2gqmP4SQ1obGmBBCiC0smBJC&#10;2gqmP4SQ1obGmBBCiC0smBJC2gqmP4SQ1obGmBBCiC0smBJC2gqmP4SQ1obGmBBCiC0smBJC2gqm&#10;P4SQ1obGmBBCiC0smBJC2gqmP4SQ1obGmBBCiC3hBdNFFz9yAUVRVGtowUWP3GpNfxYcObnYbjuK&#10;oqiE6aJH3q4r89AYE0IIMZl/4UPuhUce/oe1cEpRFNXaWnj4kRsXHXnk83brKIqiEq1FRx7+38KL&#10;HtlsFocIIYQQQghpGxjSSAghhBBCCCEkpaExJoQQQgghhBCS0tAYE0IIIYQQQghJaWiMCSGEEEII&#10;IYSkNDTGhBBCCCGEEEJSGhpjQgghhBBCCCEpDY0xIYQQQgghhJCUhsaYEEIIIYQQQkhKQ2NMCCGE&#10;EEIIISSloTEmhBBCCCGEEJLS0BgTQgghhBBCCElpaIwJIYQQQgghhKQ0NMaEEEIIIYQQQlIaGmNC&#10;CCGEEEIIISkNjTEhhBBCCCGEkJSGxpgQQgghhBBCSEpDY0wIIYQQQgghJKWhMSaEEEIIIYQQktLQ&#10;GBNCCCGEEEIISWlojAkhhBBCCCFEcHqrT3d7ay7w+E/8zOU/8fHEwAmDSg0tOP9byhRDM3d/3nYb&#10;qmPK46t51+Ot+aKjvPZMh2N7lpkcEEIIIYQQkjpMXlbbzeOrPm41wlM2X2/MrPqcMW//Xcai8+83&#10;Fh9+0Fh+ySPG8ku/R1FUO9fSIw8Ziy/8jrHw0L3GnH1fNqZv/7S891fWGWV/7VOu8hOTzCSCEEII&#10;IYSQjsvoNUezXb6aw7owPHnjtcb8A9+wLUhTFNXxBcM8Y9dtFoNc84zbV9PfTDIIIYQQQgjpaBzN&#10;cHmPn1QF4IqrjPn777YtKFMUlXqCQZ6y5UZljt3+E+87ymvcZsJBCCGEEEJIhyHd5av+km4VWnje&#10;vbaFY4qiUldLLz5pTN16c9Ac+6r/5Si/qtBMPwghhBBCCGn/lPqPD3X5at5CgXdW1edsC8UURVFn&#10;XvCtUFi1y19znZmEEEIIIYQQ0v7x+K/0uL21/0Rhd8Ghe2wLxBRFURC6Wihz7K/9gZmEEEIIIYQQ&#10;0v6xGuNF53/TtjBMURQFYVA+GmNCCCGEENLhoDGmKCpW0RgTQgghhJAOCY0xRVGxisaYEEIIIYR0&#10;SGiMqVi09OKHlezWtSctvvAB2+VUbKIxJoQQQgghHRIa4+bLseYiIzM7zxg6db0xbeuNxvRtN7eI&#10;yladb6R3ylIaMbPCWHL4O7bnE6vmnn2HseDgN2zXLTj4dWPAhAVG8TC30bPvcEMeFaXeI6cYZ15w&#10;v+134tG4JfuMkbM3GWMX720VjVlUZXQrHqyuAfdv7Jm7jWVHT9qeGxVZNMaEEEIIIaRDQmPcfM3c&#10;dUvIOPboM1TM4+So0iYtIzPHKBrisN0mXJ179Qkdp2hImTF//9dszycWLTzvPjmH00L7S0vPMMYv&#10;PSe0Hq3DMM5z9n7RmLrleiNDzGRejxJj+vab6+2nqZqz5wvG0CnrjDELd7WKRszaYGR36amutXvJ&#10;6eqa7M6Lalw0xoQQQgghpENCY9x8WY1x6YqDttuEa8zCSrV9Xs8SY97Zd9puE67TJ64KHQctunbb&#10;xCq01mI/WXndjBk7PmO7jVWOsy4U85xu9B8/L2lDqtECvPC8e23XLTjwdaNr4QB1zbj3dttQ0UVj&#10;TAghhBBCOiQ0xs1XezLGMLUwt9hHZk4XOfdbbbcL17JLHjGGTF6rvneae3mzw5CXXfKomKtqY6Lv&#10;mDFt241izj9tzDvnK8b8/Xc1SWVi3HE9OL/szj1UqPbiw98OHY/GODGiMSaEEEIIIR0SGuPmqz0Z&#10;Y5hafL9byWnG/AN3227TmCYsP2BkZGYbud2LjBk7o7c0N6YFh+4xevUfbfToO9zoNWC0UTJiktF7&#10;xOTEaOQUw7HmSN2xaIwTIhpjQgghhBDSIaExbr6sxri1FK8xXiAmuGvRINWXePh0n+02sWquGHnd&#10;37lHn2HG7N2ft90umURjnBjRGBNCCCGEkA4JjXHzlcwtxghZdqw+rAxxbrcCY+rm62y3O/PCB4xh&#10;07zG+GX7jdl7vmC7Tbg83stV2DLOJ6dboTFh+UFjyZHv2m4bTdO23Sxmu68xet5WY86+LxnzD9wV&#10;k9Bq3aWgv9EpK9cYMWujsfgi+5G6aYwTIxpjQgghhBDSIaExbr6S1Rhjvz37jlAjX49dvM9YevQR&#10;2+0gd/kVRnpGp9D+0SI8q/J2222tQt9j9BXuWjgw9N2MrBxjkGOx4fEdVy3Vdt8L1+w9nzdyuvZS&#10;34fRRUt0LMK2oXPO76v6LNvtn8Y4MaIxJoQQQgghHRIa4+Yr2Yzx3H1fNoqGOI3M3K7GGQt3RR1F&#10;GuY1M6ez2i/65ja11XfBoW+oKZi0wYUw6vWgskW221tlNcZTNl5tu42dsK06Tm4XY+bOW2y3gWiM&#10;EyMaY0IIIYQQ0iGhMW6+pm29MWQET/esNDzll0fVwLIz1faYW3fCsv2224QLg1Pp48yqvM32XCCM&#10;NI1wZLt14UL/4NxuhWqfg5xLbLdpimDG45nWica4fYjGmBBCCCGEdEhojJuv8cvOUYYLKhg0ToUR&#10;RxNGY8b2nbLzjH5jZtluE65uxYNDx0H4st25xKNZVZ81OmXlqP0NKF1gLD3auJF1rr1YtUIPdi0z&#10;zrzgW7bbNFU0xu1DNMaEEEIIIaRDQmPcfC04cJfR94wZRvFQtzFn7xdttwlXU0Kp0ef39IlnqRZm&#10;u/XxyL3+MjHlucoYu9Ydtd3GTpgbuN/YOUZaerpxmntFxMGu4tX0bTepvsm4J01Vdueeai5ku/3T&#10;GCdGNMaEEEIIIaRDQmPcNmqKMU6EFl/4gNFn9HR17PyBY5vc8jtl07Wq9bhTZrYx9sw9ttvEo2lb&#10;xRjLvnBe8bQYxyoa48SIxpgQQgghhHRIaIzbRq1tjNHfd9ySfWrapi75/YypW6633S6a0GI8Z9+X&#10;Vb9q17pLQoN24Tow6Jfdd5JBNMaJEY0xIYQQQgjpkNAYt41ayxhjhGnMTZzeKUv1US5beZ4SwrFH&#10;z9tmDJmyVvVfxsBe6B/dFXMCmy23dsrpWqCmSeozepoxctYGY8KKg2r+Yb0eZtnuPNpaNMaJEY0x&#10;IYQQQgjpkNAYt42GTl1vGs1eauApu20SIQyoNWDCgpBx1ULYcm73IqNn3+Fqaqd+Y2Yaw6Z5VVj0&#10;5Iorjbnn3NnovMdWoY+1bjnu3ntImzxHCw/da/QeNcXokt/XyMrt1uB6rXKtvdh2H1R00RgTQggh&#10;hJAOCY1x2wittHL7jWwxxrN2t5wx1vL4jhn9xs2NOvJ0UzX/3K8ZA8sWGqPnbY/ZULeGZld9zsjt&#10;ViBmuatRPMytQsDttqNiE40xIYQQQgjpkNAYUxQVq2iMCSGEEEJIh4TGmKKoWEVjTAghETDS0tL/&#10;l5Y2RrRetImiKIqKqIqP09LmSbqZbSahSYErUOv0eKv/jsLu/P132xaGKYqill/yaNAUi1ze2pNm&#10;EkIIIQRIAW/qJ2lpn8hfg6Ioioqu/6alJVVLi2dd9eCJvhOvobA7Y+et9gViiqJSXhjgTBtjj7/m&#10;mJmEEEIIAf9LS5thLfCZiwkhhFiAGdbpZLIZY+Dy11ynC7zzzv2abaGYoqjUFab9mrL5epVGOL3V&#10;7w1duCfHTD4IIYQAGmNCCIlOshtjAHPs8df8DwXf2Xu+YCy7JHlGFqYoqu105gX3G5Mqrg62FPtq&#10;33D7Lz/NTDYIIYRoaIwJISQ67cEYA3d57QqPr+aDYOvxlcogL7nou7aFZYqiOq6WHX3EWHTefcaU&#10;zTdoQ/xft6/6a2lr1nQykwtCCCFWaIwJISQ67cUYm6S7vdXLPf4Tv9EtyNCUTdcZs6o+p0KtMUgX&#10;+htSFNX+teDgPfJO32XM2XeHMX3Hp1WlmH7vXf7qf7h8Nbc41pzXw0wfCCGE2NECxjjT/BsOaihH&#10;iLqoT8lHL1HX4L9JSV9R7+C/DXCIKkT56hMhJOG0M2NcD+f6q0rdvuOfcntrf+L21bzl9lX/Sxea&#10;KYrqGEIlmMdb+yePr/ZlT6D6PvlbOXrN0WQu1xBCSHKRAGOMRPcK0Ur1KS3tS6KvirJEVhOcIfqm&#10;SMqUaduwIAqdRTtFMHzniM4XnSvCPh4XfV90v+gLojtE/xF9LFonagqYfmW26CHRIixoIjDYOM/7&#10;TOFcfyT6mQj7hh4T4V6/Loo101oo+kRkN4rkBNG/RZPUp9jQvw9+l/6i+aKxIo1bNEd0oeh7ojdF&#10;54kISUnaszEmhBBCCCFRaIYxLhDBuE4U3ST6ugh8R3SW6HOi60XFIg2M1e9EA9Sn6IwUvSGyDhJR&#10;LcJ5WvfbXYRlMM2xAkN4SATjbR2ZMV0Eo/9ZUS4WJAC05Ibv67eieOYQHC/6QNRPfUpLKxVtEF0l&#10;ukcE0/wbEUzsg6IvijaKIoHW+3dF29Wn4O/4L9Hp6lNamlf0XPBfxfsiX/BfQlIPGmNCCCGEkA5M&#10;M1uMYSiXi2DAXhDBEP9chJbSe0VfE2mjBWCMnxXFE/KrW1nROvwr0Suif4g+LTooQkv15SIYt3Gi&#10;WHGJYDRvF6G1OJyZIhhDbAezHAsw62jBflKEc/6K6LioXGS9D+AZ0eeD/0YErc+4JrRkHxb9XfQT&#10;0WUiGHsNQqxx/Wj1RUvvFJHdNVnBd14S1YpQQVApek2k2SdC67/mbRHuBULlh4jYV4mkFDTGhBBC&#10;CCEdmCYaY4Tc1oguEC0WoXV4lQj9iNGK+ZQIxmm1CK3JMJ9oUX5Z9EfRnSK0yF4sGi5qjLNFNwb/&#10;VcCwvSfqIxotGibC8bD/WA1sQARTvEB9CpInQnixFRjdF0X/FOE60GobKzgXtO4iLPuICBUICA/X&#10;wBijVTdWcGwYWdzjniJUSqAF92ZRlQih1meK0GI/WBQN3D+0MMPkYl8w1doY4zf5sQgh1hpECKB1&#10;Gb85tF6UqBZ1QpIeGmNCCCGEkA5MAvoYnyGCKYbRg9mFSUWr5n4RzDFaPTVoMUZf23gMFYzvN0S3&#10;iWAwHxC9KkLoL0KtYQjRmgzjFg1sg1ZQtJBaKRL9QfShqBsWWIDBhbnF924VwRTC5NoBEw/TvkME&#10;0w4TC8ONVnS0IltbynG/vhv8NyqDRJeI0Cq8QmStAIBJRmt0mQj34m8i9PHGfUKLN1qucQ/Dwb3D&#10;fURINlq1sT1CqQFaqU+IvixC6z/u/V9FaLEeIyIk5aAxJoQQQgjpwCTAGAMMIIWW4z+LYKLQignD&#10;BTBoFkKgYRLRP/iHolhbdu1AizEG3ooXmPSS4L/1mCz6P9G3RdgGIcponW3qSI4I9YZxniVaK7pI&#10;hNZpfT80z4saM8Z7RAhfhllHqDjCo1GpADBCNVqLMdAYjKo1bPoXolgG4cLAWgh3x7UirNojQsu4&#10;plD0LRHuD0LW0ZoMg05ISkJjTAghhBDSgUmQMQZDRadEepTjGaLwvsToF4wRma39Y+MF5jrWltbG&#10;QPgwBq6CaUUfXitYBwOPwanQChuPkUcLOkxlNHDceK4DFQ8YGVqDewjTDeOMAcQ0aInGvW8MGGkY&#10;c/RH1kwVYQAvK2jZR2s8ngscvzkVGoS0a2iMCSGEEEI6MM0wxphyCSHOmIoIrYkYYRmtwzCGVgMF&#10;k4lWSYTnouU43lDqcGCM0We5OUwXYWonXO/vRRg4DC296FeLcGm/CP1sMXgWQpMxT3BzgRm9VIT+&#10;1egPjWPjWNFASzNCmmHSMaJ3ONgvQsE1COVubMoqhLZj9G60aAP0e0YIPM4H4d4YARwDceG3xfki&#10;/Bx9pX8twjZYvkQUaU5lQjokNMaEEEIIIR2YBLYYRwPz76IPK8JymwMGmkrEtEHomwu1Nhj0ClMq&#10;YeCteI6Pkb8bG6gM4dYYrRt9gcPDtq00dTRpVHYsFWGkcYRgf0qECoRY+nYT0u6hMSaEEEII6cC0&#10;ojEmhJB2C40xIYQQQkgHhsaYEEKiQ2NMCCGEENKBoTEmhJDo0BgTQgghhHRgaIwJaRLoW22dJot0&#10;cGiMCSGEEEI6MC1gjDG41G9EfxRhhOrmgrlzMeATRrW2MlaEeZNr1Kfmg7mBuwX/bTKY+/jfohXq&#10;U8cAA4RhzuMDIvymXxXZAaOI+aVx7RhcDHM4W8kTXSHCfNbh4L5hdOxEgGmsVooeEOHZwOjpmFv7&#10;dREGC9NThTXnfAFGCbdOk9UcMFgapsO6RYS5pDGntB2YUxqGDFOIYb5qTItmBZ8xhRen1WoBaIxj&#10;w+GrnlnmrU7ESP6EEEIIIa1Hgo0xTAcMCUZI1sBYwHQ2de5iTM2EuXQxJRHm2p0mwnRPmC7oJRFG&#10;awYwFZgb+DJRU1ryMKcwrh/fbyq1ordEmPaoo4Ept3B/IxljjDr+peC/auRwzJOs53OG8b1BFGkE&#10;62tF5wX/bTaYkxrTTIUzTPS26NsiGMd4zxfP4G9FY9SntLQHRRNFeNYOi2Bol4uaA+5DJGNcInpR&#10;tEV9Sku7W4TjajAntV5HWgAa49jw+Ks3TgycMFze2ldokAkhhBDSbkiQMYbJwFy4mAsY8/Sihfc+&#10;0Y2iI6KHRXKotNWiWEELIvaBVr/RIhhszJ/7FxEM8mAR5k+eKYKBwTZNnYoIhgjzGj+qPjUNtJSj&#10;VXW9CNeKVr1kBi3BaNGfJELrO8xgY0QzxsdFnw/+q4zmcyL8LiNFaMVsjFiMMSpWMMcyzgOFbRjd&#10;TFE4mKMa01ahcsJ6TWiVxfljbmrQlPPFM3iJCIYa21wgwjzeViML0326CAYawnOJ1mec/xBzGaRN&#10;uJVYjLGuCMJc2BeKcLw9Ijx3pAWhMY4NbYy1aJAJIYQQ0i5IkDGeIkLrLVpxNTAtaCnG3LsIV4Wh&#10;nSCKBRgLFPpzRNg3TI5TBOONfSHE9RERDBDMCcJQYRyaAkzLD0UfiTBPb1OZJ4L5GiD6vQiVAU1t&#10;JW9JykUwX7vVpzrQAolzjkQ0YwyTjfDeYhFMw17RmSJUjEQL7W3MGHcRfUv0pgjGUoP/T4nwnEQD&#10;zw5C3BF9oGnq+eJ52Sz6lQj3IlJ3AYT+I/Qc0RP6OcBz/RPRQPWpIY0ZY4DnHqYcz9jvRENF+0Wo&#10;2CAtDI1xbFiN8ZRN19EgE0IIIaR9kCBjDMP7V9E3RTAL1SKEdaJlF618i0TokzlCFCtokfuO6B4R&#10;WpphgtAaCGA07hUhdBWhrFeLcOx49q85R/QvEfpvHhWhv2mkkN/GgGFBf2iEfMNkxnu9rQXMFFpI&#10;+6lPdcCY4ve3Vm5YiWaMw1knmiFC6PvNoutFeA5ApQj9e7Xw28LoWZfpFlC00i4T+UQwpZp80bOi&#10;n4kQWm8HKmfwLD4jsppqOxo7XwAD/FMRohh6ib4sgoGdK8L5nysK7ycNU49W3rtEqJCAoW6MaMbY&#10;CvrDw+ijQggh1deJcE6RTDdpJjTGsWE1xvP332UsO/qIMWPXbTTIhBBCCEluEmSMETaMUFSYD7SU&#10;oZ9nQIQ+t18QIRwapgrmKlZgfhFyCjOC8Gy0HgMYF4SvwsRYgUFACyAGWYIZjwZME0K9/yDCcTQL&#10;RB+KTohiHRAKpmpD8F8FTBTuJVrzkg0Y32tEaPG8VYRKB9yvfSKcc3ONMSoqYPBQKYBnAX2uYcZ1&#10;H1+7qIHGWozxHKDSAn188bujDzh+ezxrMLyRjDFaUfFM4vdsjFjPd5TIOjgbohdgdjU4nt3gbXgu&#10;cZ6IIkD4f2PEaowRhv0pEY6HMGpUEgGYcxwLYfIkwdAYx0a4MV5+6feUbA2y74oy82uEEEIIIW1L&#10;gowxDOBTokijOsM4ow8vwqJjAS1tMCJ6EC0YVBhjmBUAs4Q+vdaQ1+4iLIfJs7Ys2gETAwONFja7&#10;UYfRV/mXItwPmG2E2EZqlcSxYP7DQT/r/xPZ9YNtK9CaiGvC6MzhJMIY4x5h0CqEJwNUGOgQe/wu&#10;uOd2fa8bM8aoYMF5IXzYCsxfJGO8RoTBsfAcWcHzgciCLPWp6ecLMPI1nsHGgMFFyzOeY7R4/02E&#10;sP9IxGKMYdQR9q2BQUarOECURniXBpIgaIxjI5IxpkEmhBBCSFKTAGMMc4pBq2AkEXqKaW8OiTC4&#10;EQY6gvlEixb2bW1VbQyEziI026U+BaehganYpT4FgZGS8mmo5RhmACYWLaF2Icw4TxgOhOmiBTsW&#10;w4rzhRnEuUP/EX1RhBZMAFO8SoSWOqsJw/9Yju/ANDd1ULBEAzOJVtCHRKhkQNg3+t/qsHXcTxhk&#10;6+jGqDhAaDn6UOM3QN9u3Ovwyge0hqKV3QoGv0LLKgagwgjOCCu2u++NGeP5IvQlR//avqYQvgzD&#10;iX7HMII4rg6zR4UKWmcRzm4VQvLfEyHsHjTnfBsD9wv3FX2LN4l0pAP2g2vBPUY/ZoRj64od3Et8&#10;B+H4eMbQio97Hl5pg+mhEAZvBb8Lwv8BIivwvDXWR5o0ERrj2IhmjLWWHT1Z3yD7q39Lg0wIIYSQ&#10;NiNBLcaY53ZH8N8GoJAOA4LWvfB5V+2AYcE8yDDWaOHTIHQ2vLUNrWfho/vCPOsWNBIZtMDqltOW&#10;BL8hjGa0MOJooHW3NVpCE3W+rQnuDQxFouaCJjY0xxhPDNTO0AYwldSYMdaiQSaEEEJIUpAgY0wI&#10;IR2aRBnjmbtuN+bs/XJK6MwLvmVrhu1kZ5CdgWqM9E8IIYQQ0vLQGBNCSHQSZYwXnf9NW2NIBUWD&#10;TAghhJA2gcaYEEKiQ2PcurI1yOvbj0EucPpGFLv8Dxa5ynd1nbAaYwi0ATMyixyBqUVO/+S0oQv1&#10;eAcxU+TYMCXf7UPXEhvWdCp0Bi4ucpRXdC7zRRuIMH7G+bsUla0b0kvOvZer4oy0NEezuv70GOvt&#10;Jed7dq9S/8LW/D16Odb06OVafwZ+h0JXYLgsSrIxIBxZRS7/Z4od3p1dxqzHLAphzMgscPn/VuAI&#10;vJrv8m40FyYr6Xjvikr9Q5v7vCQIdM2ydgmMCO59kbP8LHlGbix2B+6S3+Szhc7y9d1cgQbTh3Yb&#10;uaKg0OE7t9gTOGInPOc9xi7GOCaa9ALXeqfs8zzIfA4b0G0kjpUU902TXuSquFbO+cFih38FPgcX&#10;E9KC0BgTQkh0aIzbRu3VIPdyrhtQ4qkwgvJ9My1te/MLnGJuO7vW9IZZ7TXBP7nI6V1V5AxcXuwM&#10;fLvYVXFR/vjV9eenH70mWwrBJ/V5FLgCjU4hWOj0LhIz/36Bs+L2tD5LOksB/bv4nhRMdxWW+cpw&#10;TeamimKn/2GsL3b73y1wlI80F0ekj2NJZzGIdxW7Kx5C4V/+Pinn97xcw/v6HAtdFe/J5xdk/U/k&#10;7/dk/XN6nRj8HzXF4GsKR/r6FLn9h3C+hS78Js00AYNm5Ba5ArcUuXz/0ecIFXv8/yl0+/9Y6PS/&#10;VuQJvACJYfmLXi+mxjrVX5sT+p3d/l/I/cUMH/WQ9Z9X651+PXhlOgy/+X9kRizrhucmf3xFv0JP&#10;+bDCMu8SOcYVYl6X4d5hfZHDv1t+420lbv+thW7fH/U9KnIHnkgb67Wau5jId/luCV1LI3R1lBcW&#10;l/kmFrsCR4oc3kNBU2hPN9eKgmJHYLkYztLw5y+/bL1HntM3i13eV2RfH8u9eqfQ5X9W3skfFbkr&#10;3sC5yP+/bfBuhnBkFTr8j2Ibeb8wsKsyf/KO95fj3Sf7+59cy114l7Ec5E/wjVbPl7viETnmN2x0&#10;ZZpje2jMkQK3/wach7z/zmKX78pit+8/hY4AZlvRpMv7cK4c5wncF3NZm9NDnh15Jv4k79g/YOjN&#10;xYS0LC1gjDEQ0H2iz4sSUSuLRAgjDYfXFDlEGI0XI/22FZjvFnM1Y/RtjAh8lQijJWOU51miJmfg&#10;LQR+D4zevNlUPCCzPF8UPpKzBr8Prnm3KbsMDQUn1viRdgmNcdsqaJBvrWeQx3uvsJsXPSkodPr2&#10;qUKx2/cyWt3MxcKaTj3Gb8AMATGnhQUO30yYUDF0j4mJeF0V/J3+f0jBuVbMcSDYQmY9Rh1S2K3C&#10;9nI+r5mLGoBzle12o7Bc6Kx4VY7zDM4RhkkMyr+lcHoh/kqh+seFrnWh1iYUVtU1evxfNxdFpWj0&#10;mt5iEv8qhui35qJg67AYIXVd7sBt5lKFmIyLzOX/lnOKa1BEuUdniWH5XI8yL8oLdfdbTANa83Ev&#10;C8fZt541C8eSzkoW5L6q5wHKH+uLZSDSeuQ7A6vkN/oI38d593L6x5ir0nqMXy7Pk/3vHwvye1dj&#10;v/KsqkFUe5Z5x+LelbgCx4rdFfdYDavazhV4H8ZMDMvrhZ56BqseKmrC7X9X9vtBkcu7sWiCf7x8&#10;92lZ9l+5H5jFJHRfZNnR4Hf8V+CzmE2UpeKmyFWhnkl5Xu6GkZV7Nbxk3Dx5vnx3hs5fzGahu/xe&#10;Of8NcpwfqeVu70/MXdiRgXuE8w7uw1+v5Vyu6RW5xndh9nuWrh+XX+b3FJR5vfJeBCuOnF7MZmKL&#10;fPe4vEf/ynf4K5A2mIsVofvnCnxS4F4/21yMd3q8LP+gZ2nFOHNRIziygtfsxQwraTj34PX6b1Wr&#10;BblHxwvcAZTZY0LO91o5p49xP8TU31tXWSBpWxMqM+zAfZTf59/yO34rbfSarqgokGNOkvTuAll2&#10;h6pc6r862tSshMRPCxjjnaK3RJPUp+aD8IkPRXpaJg1qrn8nwtRCyBCQoGOKpLgzHBMUdDEtEKbE&#10;iQdk1ChwhM+ni7mCMSctpnJKJmBO/yDCFEmxgMz9DBHm4cX1RJrHGNf7cPDftIOiJ0TWKaxwX/U0&#10;V4S0O2iMk0NJaZClQIwWMSnIuvKd3rlFLt8GKYir1iKEoIqh/DBYoA6qyF3xb9Uq6vBjurXYkUJn&#10;sTPwKxRKxVge6jphU5EUwGfBZCizLQVIKTT/AgVtOe5yfEUXhKWQGXEO+t4TVheJWbhbCvcPybm/&#10;iHMXIzZXCsw/x/mLSbqq0B14VMzkzV3G+fW872nFnqCpgRkxF8WEFGwvV99zVnxPjvdLmHx9b9Ry&#10;MV2oUAieS8XfsazQ48NUgjGDFk0puL+j9ueSwrWlBU0jx7gQ9xLG39oiFytynz8j5/5UvfN3Bf5m&#10;Vi48LuePymQVSovWUr0NPsdJOlry8tHC6fY/o64p7J4pybELnGv1NJdRQfgujKOY3C+rfeLZcQTu&#10;grHD84R1iHSQ50H9XvIsbeo+enV+UVnFEBguczcRKXKt6S3n+5Lo3UKnf3uvssCCQqfvWTn3P8N8&#10;YxsxrxcHjx1YE/zs/aLct3/iHPA5FgpKA04xTC+G7gP2J6ZdrudOOdYBmCpshxB6+a1/jZb8nqXe&#10;QWlpo7PlPXpMjv3vXq7yJpdZ5b34Oo4Z3L//1/iNep2xboA8H1/B8kKXd4m5aQPyJ6wejYoidc4w&#10;gZbQa/n+RtnXf1EJYe3SgFZ4pClFrg298Tt0L1s3JL80MKqH23+arG4Quo3rw/OC/8UQbwkey3e5&#10;Si9c/h+IycQsMDFW1K3phMgR2d9Z+hnUf+vJ7UP5PK6GkF6OwEBJZ36v9yHn9mf5DX+NtEf+/2yB&#10;w3cJKjMKXX4VRYLnFddgfp2QxJAgY4x5g/FCYn5g1DphntlK0S0izAX7b9HzIrT8xoNXhLlq0QKN&#10;uWjvEkmZVLXIYj7bl0U6wUFigPlfUesYby0SXt7XRZg72WpuYyGSMcb5oUb8SVEyvbj4rd4VxWqM&#10;NeNFqHGMVLjCb61rHDF/L3539FfCPcG69jT9ESENoDFOLimDvLO+QS5dd1m8eUxCQKhlgRTARZdJ&#10;wb+m0O39Owq0Yvw2oT+guVmzUIYEYbko5MrfQnfFT6WA+GUpHJ5CIbHY6f0VWg3FcJsmJrAO39PG&#10;WM6nwTSGsu0qMSaqUIvzRcueGbr5RKEjcFj+qtY7tK7CXOQ7Ktww/mJe1kkB9XwUTIPHqpPs8/0C&#10;x4aZ5iFskQLwVLSCyb36lLlITEDgB+axUAmrKHJ5J8h5/aXYXfFyQel65KkxgdZU2d/bcn4fFbp8&#10;a83FtqACAUYMx853Bb6iDVuT6b86D4YS/aPlU8gYSMF+ob5H5qKI4JmR+/g9vT1+I9nnc3JNXxVj&#10;V46KjGBYbOBptR5mT4y3+fWowEAVegI3ieG6V+7vzXLPH8d+EJmgNhg0I7fYGbheV+gEKw8q/gSD&#10;hs+oOEE0QXGUexUyxs7ArwqdG7bLs/uE7OtvsuxdtIbC7IvpeV5+p5fE7Kl+6iqiAJU/Hn8oPB3P&#10;Js5V7bRx0mX/O9U5Ovy3yjmeLfv6ojwDWwsnlA8rdvp/K/fwN8WlFeNk3U/0/vG8h/XJrQO/p3N9&#10;qTyrtbLv9+V3/EzQaDuyihzeKSV41tz+q7Ef2WYzjLFc0/+piqbwCjF5b2Mz/Kr/fi2+A9Mcbtqx&#10;DzyzCNmW5+QHctwLC1y+a/CM4P2V633EGoYu53SOnPsneLdkm5+rii9HubvY4X8Gz6W5mS29Sssn&#10;6d9d7dtZ8Z48bz8tcAauUc+LY0lnud7NeO/lPvxL9nd/99LViKZsEnJdXw2vGFGVQmL8C8oqZsk9&#10;nQOTrO6n018vuoSQhJAgY4yW2pdEkeaZxYv3kSjWmkyEZVwqwvcQony/CP1Z0CKJF2Gl6AYR9vmc&#10;qQdFAVFTQG0ZzDtCgePFzhgjA79HJAUVFW6dTGhj/GXRZaLLRWh1/5LoOyJk5nZEM8Zo2X8g+G8a&#10;Cjv4H78ZwqHaaOAZQhIHjXHyaKmY4pmVn60zxb7q18t8NRPN291moJ+iFOp+KQXFv6Ml11zcbFAA&#10;R2EbBVopfCItVuQ7/LthGqTw/23VZ1MQc676E0ohtl6LMVp38blxZmQWOnx3iIH4UPY9T471gGqZ&#10;cvoq0VIMQ4ECdR+zH6JuMS52eVGJHTMwZrgWKWB/JMf7tW2Lk0VyDjFGXs3IlML6Dhg5Mfl347O5&#10;Iq1ggs+Ffck1PRbePxZmTIzFj63HlHP7o2x7yL5FakamGKxvyX3/q9yrp2S7U6rCwl0hhtH3JFpu&#10;zX38utgTHNAqHmMckUEbcsVQVuJ+yTE/kmNdj3665tomI/upUefr9P8BlS3W+2ZFzLcDxhYGD/cT&#10;LZcYVCzY+toQtACKYVKt5wi3lfOejEoObYzld/1Sicu/F/1vEW1R6PBvEeN2Es+0bPuUmMPwSMEQ&#10;iJhANIO+p7j/sj2O9Tt8lr/PoIUdkQLYT4HH/3UYXPPrajA2mGgYXXlnlnZWra/1wfnnB/uQXyP3&#10;+wmcFyoR9PMv+/1Z8Nj+8T1LVw2CecMxMYiWvH+fwr5hyC0t5//Fe6V2HgFUAMl5PY1nWPZ7tX6v&#10;rXTDPt3+r1mvxyQdoc04pwJ34LvmshDy3A9MmwijHyiVZ/e38rtPlPt2vZzXO7K/U3LPD8QaORE8&#10;T/9n5Tw/UemSw4eGqWYDYwwDLuf2gZzne7L/36oKFdWtw3+bpBfnFpgt9HJ/423gISQ6CTLGCGN7&#10;R3SF6GuiH4leFaG19PsiGK4/iUJ9YmIAiRT6T8B0TxXdLtIDP4BzRDeJEF6ClwM1l3GFbZhMEf1d&#10;dIcIfUxgxuPZjzbGaB1GODEy8C+I0HqKmu9mZ1oJRhtjnGP4dS4WodUc/bHCiWaMAVprEFKHft+n&#10;i1C5gUQdNX+o8WwQykZIe4HGuO2VrIYYmAX9D5Upcvm/gr6tUtD8fqHb/38oxGmpwrXT91bY4Df2&#10;qNYqhJaWX9vr9DU9UBBUBWan/8/KmKnW3YpQvoiCrxzv9zBsKPxiWazGGIVsOff7C10VMCbBcF0x&#10;+RgV2hKmfUoVouU8egxajj7IZwe3a7zVyQ6YC20wgFyPajGGiTEXSU60vXOsLe5oYZJ79aqcy3Xq&#10;fC1gRF7Z7x9UCLuYFTuz0RSK3F4YYYSMWljTCc8Bficdwgvk3Bbh+qD4BhBzZBW7y1fI/l5RZt3p&#10;u92636bQRcx6oaOiXH7Lx/E8ooUO55U/dmV/uT+75He9W4zOkzgelmujIufwNu4hWjHxXbRqy/N2&#10;L553eTZCFTaa4tL14+Q7oYHVsL08m7+SY/wZrc1mRMBvcHz5fS4uGecvFnP+BXVMMaCRDHo4eHbx&#10;zBe4At/o6fZNC56z/53g/Qq8X+jybhMjfZe5/CVZ9m05zlVFzooDcpzfYrkYcpQn7REzKffjDhWp&#10;YXk+5doflfuC8pQaLAv3stjj364qkdy+u/Geo/9/iWfdYLnm19Dqbu0bHo6815tUBQu6PTQxRFj3&#10;sYbS5B01F4eQdMpf6PY+rwaik/ugtg2e7w78j0owc9MGYIRs9PmX5/7vcu2/ljRuP+6NuTohBI2x&#10;/wP1PIlJV2Hb6Jvu8M9DxQnOU9ar3xKVgObXCEkcCTLGMD5oHbWGomAQAZhbtEAuFf1RFGHaB1uQ&#10;8MPsLhPBeCJTh5FDhoJBrhBWbc3c0McYfSgOiGLtK4SCw99E1v5RaDl9SjRQfYpOpFBqcIkI5xQa&#10;NCEJiBZKjX7EFwb/rUcsxlgzR4TWaCTsqDDAd5EZIFw92SoKCIkJGuO2kzLEVXWG2O2reV2UFIZY&#10;tYS5AtepQrGYhZJxK0N9cIEUPoP9ad3+j5pa2K2HFBZhLrBPKZhiMMR6fQrFAOy2mj9dUI5mjNGK&#10;Ksb4mOz7R1JAN8OrfVJAVeGv3wj2K01Lz0ffQrfvKtXiZrY0yvHiNsZhpMu+fijH+QRh1uayBCAm&#10;1e0/inOUgvwfdQsbKhlwncoglK1fDPOpNo8TMVOHsW+rVMslQmldgc+ZmynQPze0jU3rJEBrsOzz&#10;eS1V0SLb49xlf4eLHOVT7abviZ0ZmWIET+BZRAUOfkfVgghzW++81nQqLPMtRqisdTAlbfDknqrB&#10;2czFEYHJwn7zHet1K2nwd3YH/gJTbC5LQ3QFjK0yW8H36LE4WsLT5ZyCfXnRwuj236yuxe2vMtcH&#10;kfcB140Q6x7j1w3GKOp4luW+vo1WfzwT5pYRKXBXKPNY4varMh3uoZjx0KBdaH0tcQZ+Jvf462Li&#10;Tsi7f3uByzcn3+2vkP/Ryv8SRpU3N68D77TLi9GkX7FrfS92e6vNAeQUaOHG/grcvock/ak3inih&#10;y3eTuhdu/+/NRSHknM6R9d80P8rvqd5xZezxDgc/Bz6PbhuFTt839XMoz8nLsp0KbZdreAwGvtiz&#10;flwLDH6FQc5Un+9ij/+pYlfFjzGAmXy+A88/ukUgskDO9Vp1jRj4i5BEkyBjjJbR90UYOACjUyKz&#10;hlFFzRpaDjH6IFplnaJYQCa1R4QaPB0qAqONkQDRChkpAUNCjf7I0aaNgMGGgUYr9llYEAaOLWXf&#10;tGdFGMW5sVrLxowxjD3uaTINM9+YMUalA853l/pUn1iNMcJp0MccoI8batMxUJq+T80tQBHSJtAY&#10;t76S2hBLPgKzI4XgD1EIjdQ3NTRKrsuPvKtZIJRVCqVvoTDbo2EYpS2W0OqzzUVRKSjzz0YrHlqu&#10;lJFSIwl73w0fwbnOkHhVf+YmM2hDbokn8DMpgH+Egq+5tFnAgMg1q36kYpjuw8jXaoUU5mEACxwb&#10;RuoWMxTEixwB5PtxMiOzxzg14FFUcB9xLHW8CMZYIQbO2pKuyS9dN0pMydVotRST8LG6Lnfg73Lu&#10;COmukeeiSq53OQwOQu+V3P7xMIDFTq+UwyK3vooJUgNXyXmFzCrOAaZILXcGfiRZd048xhjHlWfo&#10;P/LsXKMqj8rWDVHht2gxFlOHkHxzUzX9kFyHGpUcKnb57oF5NVdHBKZdrvspOc/3MLUPlqn75PLf&#10;L8f9h+h1ubazzUqdjKBB9d0ux7+8wBkQ0+5fD0XqKy33+Vy5p//T5xU6PzU9k/+zcuwrxLytxBgD&#10;5lfqoaaEcvt+GLymwPvaUIejwrWd/hfQmoz7ZlWhy7tXzqFeRQKOi33CBJuLFD1kG7n2t9VzYa1g&#10;kvdL3tH7ZF83Wp8DFQItv5H8my7PlarEKPZYpnRDZYFNaDWeMbkeGPm3UZGB76lBBt3+LxS7K47K&#10;+o14FlEpgOcQ/ZTz3b7RuB5EK5i7aUDBCHk+1KB7GHm/7vfHqOv4Hr6vKjVcgc/hmOqZGTfPOsgr&#10;Ic0nQcYYYciPi3StK4wras2HidDHFiYZ+250EAwLeNARfq0zfhhvzEln7a/7tAj9jXVtGfo4nRQh&#10;jDdSBgBDjJEPXxEhFLsxw4vzR00gzhtCqDhqIFUCK9JEMsbYDgOO4byTqY+tNsYPiaw1jfjt0O8Y&#10;12GXyGtjjFB5O5B4oiXfmsEgkgCtxCg4IFoAo2HjvhDS7qAxbj3ZGWJX+fFEzXTQTBxZUtjeB3Mq&#10;BdTbUDiXgvkSKRBeqCUFu6+iFU6WPyd/64VS20kKkv/KlwK2eYAGyDFOL3Z5fyLH+7McO+pUe4Vl&#10;GxxotRIDcH2hGBkcQwqtDQbfArJ+L0ywPhc53z+i1UYKvYfNwni9Fmk1Crbbf1WBy+/TLZoI1zZX&#10;Nw3TGKOltdf49ZgFoVkUOv3rYXb1NWnB0GDQMinEf77I7Q2gb3GRw7dHF+57R+gr21RgTtCKaT0H&#10;+Q3rpqlqJmhBEz0C42Q9hjqOCsn1vSjP6adgFs2v1BEMjX9MXztkO3UVohzM6IOeE/zj8QzKdxo1&#10;xhgIDEYQowhrI4Y5euXdUKOE491BSK48R7+W+/MHmHsMrITtChzenfq3w7mJeXtSnjU1j7aYq1CZ&#10;Jd/lWylm79USZzkiEm2BMS0q839W3x857n9kn4/LO3RhUen6hWrgLNWCW3+apFiR4y+SZ/YO2f9v&#10;5HpVZYVV6v3HgFgO/zNiijE91Fch2fa4uq9qHzDn9b8XLtn+lbApvjIK3V4MqIW5kz/R26GCoMTt&#10;uyP8t5Hz+5SkBeiWWI9e48qnqjQF8yE7/W/J8/IdfV7xAOMq3z8q1/Ks3N96c3pDiAbAfZdjHWgs&#10;EqBg7OoRcq7v4F7KtfxBvoN+2RBC/h/HcyLPzbN6v5JuclRqkngSZIwR54++xOtNIZQWobPaICPM&#10;GlMuqRq9KKCF+Q0RwpmtBg1TAGF0Yw32jXBqDBylQS0rRqqGUQ8HA2JhgKjGzLAdCBXB9ehrQy2c&#10;Pi/U/iEsxSoMFnZYhBEiEx1mkghwH9BajIwOlQm4h6iEOCayq/nG9ugvHX6d4YksDK+docYUTZ8W&#10;6f7ghLRLaIxbXsltiBtH9YVzB9ZgtGC7Fr8mkp6PQrwYURTyzWUxIwXRC6TwiP6b9VromgvCxcWw&#10;qJawInfFn2AwzVVNJV0MxqMwSpjyxlzWLJTpdfsrYis4b88KqmUQM3SsyKla4H+gR19OFoItrIEf&#10;5JdVoFHBFrTUoSUvZEjCphWygvuuBr2yX5+O/qzm/xGB0ZLn9jNoXQ4ao4pfipn9ZpHTW9V0IzQj&#10;E5VKMNowXvpaIDFj/5PjYET23xR5/N+3GdQqVtILPV6HpAHXyT16QlXEONV0Z9+XYx62raAg9UAE&#10;RrT7JKZ5W4nbf1uixgogpB4JMsaEENKhSZQxTiXN33+XrQEOV7gh9nhr33AFTrQLQ0wSBVoWYxts&#10;ibQR4/xdwkf0JoSQDgWNMSGERKc5xnjcvP1dnGuvHJMKcvmOH47VGNMQE0IIISRpoDEmhJDoNMcY&#10;pxIef/XGaMY4aIg/R0NMCCGEkOSBxpgQQqJDYxwbjRljGmJCCCGEJC0tYIwx8jNGMMZgTPi/pUA/&#10;F4yY2Vl9Sg4waAhG1MTIjhg9EdefTCNSNweMFI7rgqzzVVvByI6Y/znS+khgOq/toiaNDBkFDCgW&#10;abCOpp4vSUFojGPDzhjDEM9KAUOM6Wjs5sQtcHm9xa7ANwqd/u3tYsCYQRvqnWOhMzADo9/K+f8s&#10;f/zqfubixDEaIyQHB/MqdPt+Kkvqlx0w1VI7GWgHg4cVu/1HMbKyXMufil2+iKONJ4oip3+yHOvT&#10;vcrKF3BAIkIIaQYtYIwx8vSfRRi5OOoE8DGASc3/JjpXfapDj16N0aqRicLc2I6SGCP7RFtFtvPR&#10;NQKOuUmE+Xqtoy6jYuBHoidE7XmeNRjWz4i0ucTgKPgtMHXTMiwwwdyTzwT/VdM2Yeon6++BUQaP&#10;BP9V+7JWGGDUa0yNpefLw2/ZnFFOcX4YbRvP4T9FmDYqnHjOlxAa4xixGuO553wlJQwxKHRVTA+O&#10;cOv/b4Fj3UxzsQLTHhVjLlKn78UuY9aXdC+rGIKRfps71Ui+29dfDOsrasRgZ/n6pk47U58ZmYUu&#10;/3PmtUg6is+B4+qzy/fjXpjbtKn0n5hX6PY/KvfhrRKP/06o2Bn4Eaa0geRa/oYpfUQvq2Xuip9C&#10;YjL/juMXuf2nMJezubd6BOeA9a8odPjKxSQ+oqbmETOPCoke41afJvv7vfz/NqbYwZRTai7jUt8c&#10;mFhsj7l1sT0MprnL2Bi6MKdXWWBBkStwP8ww5hkucvm/VuT2rultjrCNUZphWps24vaMzBLz9yiQ&#10;awkfsRfXg3Xq/rgCv8m3mZYnXlrmuSKEkHZAgo0xzCDm7cXcvjCD+LxQdIkI0xzFOx0CDNJbohoR&#10;Jt9/VIT9Y18wTi+JMOUQwPy5MDowok0x5Cjo4vqnq0+xA+P4D1GkAk5A1NSh/9uaASLcf6f6VB+Y&#10;WdwvXUjClF1YBjCnJX4bbW4xDQRMpm4FQAXCz0X4LXGMSpGekxr7+L0IU2M1F0xLFckYx3O+hNAY&#10;x4jVGFsNsdNfg6nbOiRFZeuGiPF6vcippkaqxXygyiS5vW/0cgbWwQRjvlYxG0/nD/V1Lxq9oTdM&#10;pjIzTu+r5m7iBlNEiXn5HfZT7PJjbv/EIGZPzv0KGLFCl3db0HT5/iOmESZVzTGrplaCuY+DYnfg&#10;bnWuzsC3VSuxq+JrhU5/dYnbf6f8L/fM94Za7wn8Re7Vx+p+urzPy709WSzbieFcGKlFtGeZd6z6&#10;rjvw3ULXuuEwwZjnNL80MArnKvfnwwKn/waYYH09JU7/0jTH9iyYYUxrVeQqP092FXMFO+bDlePc&#10;FJwKa0am7ONBOed/FDn8u2V1utq3PA/qeGK8xdg/EIwqiJcZmQVO3+XqmQrNg+zIkmfonkJ34HnM&#10;Kd1j/LrBsv/x3Uevzg+ubzot9lwRQkiykyBjfLkIrbqPiDCHLyZqt5pTzB/8sWiG+hQbMGOYX3eb&#10;SNeQHhL9UoRQLtQaw7RhPVoIvyiCCW8KmKdYbkXaBepT7OAa/yO6Un1qX8CcwpDCIN4owjzGy0Xh&#10;oen4bfG7WudeRHgyrhtzGWrwG3wp+G/aRSLMQ42J3NeJUJERiQ2ir4hgNC4ThU/XgfmwUYOP+aHx&#10;G68WAbQ6fVaEY+7AAhsaM8ZNPV+SotAYx4bVGHd0Qwzyx5e7xaB8KEbi3R7jvRNgYjqX+fqoOVGd&#10;/j8XTvSV1bUY+5/q5SifKgamSgzVfhgZczdNotjhXY4WajGafxUD1uwKWDGLl5jm68/y9wkxXI/D&#10;oMq1Pdlj7GJUVKeL6btVruV/hS7fI7GG7cK0FXrKhxU71s+Ta67o5fRPFhN5XtB4VfwY5ljM7x+U&#10;gRRzLEb11zCS+GwnbNPD6UXUWAi0AGOdnNvneznXjpHz/78iMZNiiu9F+Hfwfpum3umVvESMrFP9&#10;Dn+TYz/flNZczC2N8HJ1XFfAC7OPygQx9r+S+7O1yOF7ucgVuA4t1sVyvmJuXUXy+6PiwdxFo/Qs&#10;9Q6S3/Zs2fdNqDyQYz2L89X3QQtzSZe4A79XFRdO/53dxq1Dl6cmk+jnihBC2g0JMsbo6/sb0QjR&#10;MJFbhHCeS0W3iqpFCL2NtRCARF1nuGiRRIveEtHLIt0yCzP7gqhE1JxMAH1M0UKJsNvbRfH0z0Eo&#10;Me6ZT31qH8AQo0IBFRjWFlH8NviN0JLbWOg3Kjf+JEL4sTUCAL/THSKElT8oQkvCp0SRfhscG88K&#10;zCmML0LvHxAhxNmuxh4G+u8i3XqN84Uxbmzey8aMcbznS1IcGuPYgDH2+GpOdXRDDMRQHRcj8u0e&#10;Y729isoCC4pd/rfEJH8HLXkwFmJkjorB+5GYwNeUeRKzXOD03ybGbF3+2JX9zd00iYIRm7vBkGO/&#10;METNCnG2oeeEtePRqmqa/vISl/86MUk/k///EzJkTu/3uo0MRO1+1G3CxmFiUq8SY3qXGMZzi13e&#10;bWLm3pD9vVfoCJwpx1gp9+tdMby/lv3XyPL7xAB+IvcN3XhiImSMXf6voyJC7vF9wXP0PyX7/J3s&#10;7+Nip+/DArcfFfX1kPO6DevluD+HeW00dHjQhlz53d8rUfcicJeY3yflN35BjvNPdc7OwPvy95Vi&#10;T8WTMP14HuR85N75q0u0iZZnQ671jjTHktjHSBm9JltM9yv4rXtOCFaooKVa7tHbcj4/l3O5Xp6t&#10;pd1L/UPV9k2kpZ8rQghJahJojGFSi9WnhqAl910RjHOsfFX0uGieCOYJIdK6Rhch2mjh0zXG+Pu8&#10;6CZRIRbECIwdWkOfE8FgwTS+LioXxcJsEe4ZwqnbC6hcuC74b1wgc3xYdJ8ILQeNgcz+ehEqLW4R&#10;rREhiuDrIrBYhAgDmHOAFtvvimCWzxL9RbRfFM4UEdbBlGzGgig0ZoytRDtfQmiMSQMKR67sIybo&#10;pqA58v1TzMlPlFFxB/4uxgyDCqbB/MBIIawara4FYtxUWK/Lux+GWm0TLyOWdSt0eWGG/ocWSRhI&#10;mFgxZ0g/Yw4FjoSYw2Uq9Nfpuzvf7ZtYr3V29Jqucv5vK9Pp8l+LPr1yD24Us3dO/sSK2AbmGufv&#10;UuDwfV6+84VCp29ziatibYHLNwfGDi2kMMZyXV/pNX49BrOMqUtL/RbjdQOUuXb73oVplH3Jtfiv&#10;kvM9T7dEozVUPr9W5Kr4Ofot4xphoLFOC63NaP03DyGmeIaYYu9JtU6u2VwKMnqM39ATLbxiXp2F&#10;Dv+WImfFA3Ksp+V8ahA+XeTwH5L9PynHxO8VMSS8IY4s+d4OPDPFTpHb96kGfdOHLsyRcz1HrvN1&#10;9UyISc93+FF2io8Wfq4IISTpSZAxhtF5U4R+mV8TYVRJDIz1KxHM7UkRDA0MdKwgQ0Rr8w/N/wH6&#10;LqNVz840IfNEeCwMF1qso4GWYrRyI1zb2kIKc4++r38QoZU62qATuE5cXyQwoFSz+/wkkA9FaMmP&#10;B4Qt/1qEEOpoDBKhTzhYIHpNhN9ND5ZmF06PSpBYBilDIfJuEfbzkChabXssxrgp50tSEBpjYgfC&#10;VsXkzSxyI8TY/98iMRaFppkS8zW30FnxnhjHp/Uy0OuMdQPQymgarJNopTNXRQXbFonBCn7X9yVJ&#10;olCpmy4GU/VlhWnFYE+yLH4jA4Pl8N2B/YiB/50Y5GcL3b4/4rM6HgbBcgd+L8bpJ6LvinG+Xgxo&#10;jZzHs+rYbt8HujUzGmK2NuE7YsC+KmZsW6HTv77QXXGhnP9n9fWJEXwqLcZ7g37ewf35ke6LUfYf&#10;Kyrzf7aH2498K72XY00P1Xe2tGJcL4d3ihyrXI59CcwvrhX3rdDl35vWf3Uevm8HKjbkO/fLd76s&#10;zSkqBmBI1fm6vK8Uuyt25JetnSi//a+wTAz/j83fKHYGbciV52MVBkErdlU8jWvRfYfx+3d2reld&#10;VOofihbjgjL/bGwr539CfodvFpT5KgvGrkYjREwVCpoWfa4IIaS9kCBjXCv6mShSDehSEfY9V32K&#10;DQyCpVugEV4Lc6NNKhLs80V1tdjB7RFmG22AL5gvDPSEAU8a6zuDEFsMqoXzhilE/1u7AbZwbjD9&#10;4aHJAOcLE9+EwTZaDJynlOtVi6gdCIG3jvqJ/raooAgHfaQeC/4bAhUS6G+t7wMiBdBCjetHeBdC&#10;uCMdNxoY5XVn8F8Fwt5RGYNW3khEM8Yteb6kg0FjTMIRIzEfBtdsCTxPtwIWO31+LBez94WSSSsj&#10;RVKJeQtsKPZUvFnkDiBKJSoq7Bh9lT3+j3AMc3GI7qXrnWJe/08ZRAwC5fRWFYxYFpOxhMEXk/ue&#10;nNNvisoqhmCQMPSh7eYKFKSNm9cl3+XbU4zRlR3lU8Xo/y1onMuRt6fJ558ETaB/l9pZDKBFPWi4&#10;AlcWuf2HCj2Bm+Ta7pbzfkobTfkb83uGvsvm/upVnIshHij7uQVmXv7eD+McMoCOwE2xt9w2jjqO&#10;0/einP+fRd9X+3cG7mvO/vHsyHX9Ql2XJ/Bmsdv/OH77Iqc8M07/WfKM3a6OI4ZeVwxAOH48Ydot&#10;+VwRQki7IgHGGCYVo0UjVBrTE2HERIQmo68qliNj+0j0iUhlolFAYv5t0dsia39PtCgi3FUD8/a+&#10;SGfEMDcHRBjkay8WhIFQYIQQwwhh9ONYQIaG/q+4HlwXhJGvwwfpwnbor4p7AMN2oQjTBd0siq+m&#10;uHXAvcPvgtZj3NfviXBtaLm1ZuL4LdD3Gs+FnRD+rEGrMlpcw8GgWRiZG+HmJ7AgTtaKEDYPw4rI&#10;BA1G/UTlBiovYICtrdkwwhhdFN/Bed4jqhJZW+5b6nxJB4XGmISDqXPEnLxZ6Aocx+citEQ6Mbqx&#10;/7oi3aIoBhAtyTCSWI9lCBtGWCxai81WuEbB98QgnRJ9BCNpLo5Igavia7LdJ3VGSU1FdCVGbkZo&#10;rrlZkHH+LmghLHAFnus2dvUIhFGr77j9d+L65Bzfk/N/Jt/pnSvL/oiWYrReyv6+IYb+W3Id281j&#10;ID+OGdwjfA/3oNjtu6fA4X9GtVA7A6/CfGGdHPcxSYpjms1CzOHN+E6JJ4ABFOsh+8Q8zH/DPVQh&#10;056Kfdi2wF2u+hvL8T8v6z/Gb1nk8OkBHuOm2OGfJ8dSg4hBYsS/Gj69UtyIscagYXJ+P5FP6cUu&#10;/4Nyvr8Ljhwd+HyBM/AeWncRSm3eM0TpxUSLPleEENIeSVCLMWisrxRCq1CLG4tJhGlFIcPaGhwP&#10;MMAY1IkQQhIGjTGxIkbXFzIIDj8q4kB6sdurDJoYv1CXlR5l3lkIQy5y+V4sHrPejHKZkVns8qqW&#10;VrQ4N+g3KhQ5AlPle88Xu3z3dC9bh7E1Ygd9gcU4YV5dMS+vKLn9L4kJ+oUYYeSxqExO743BpnSr&#10;pnxHTNjdhZjX17XGdi55+e5atBj2clWcIaYsgOuS4/xP/sYy7kM9EPqr7pUyfn41iKWY4k1BsywG&#10;MFhpEB6JZYOaaxnf+W9hmW+auRCtuD3keh8Qg/oP0XXYDsvlfM82f6PQTBbozwyTiH2UlPmjjUuh&#10;yB9f0U/M4Sr5zmOoGJBj/EB+Sznn7Vm4x3LPP8Zx1G+MAa3cgTsKHIHl+RN8o9Eib+6mHhgdW66h&#10;DIOAack9+Tb2gemhsA8YUrR+I7y5wB2sUJBjNRitGsLgX7gP5u4VrfBcEUJI+ySBxpgQQjosNMbE&#10;SqEzsE6M7g9hXMxFTQLmDP1r5d9203cTreAwxDBeytS6vZh5IjZDNHpNtty3DWKkPhBT9XS+M9Cg&#10;ixX68sLQaXOHeaDNVZERc1/okfsYw1RIcuyrg6axHJFDcYPBugqc/ivwuzU6ajPOyeU9gVZwmGTR&#10;J6LgqNVu/+OiarTYm1sHwXecvn2oNMh3Bb4qBvgSud/r8Jx1m1COSn/28SWEkJaCxpgQQqJDY0xI&#10;M1Fh24ElMY/G7VjSuWBC8yoeCCGEkJihMSaEkOjQGBNCCCGEdGBojEkSgOkxegb/JSQ5oTEmhBBC&#10;COnAtIAxxsAiL4n+JBqLBc0E8w1/QWQdoRqME2EUzESNHFwoinl6AxNM63NQhPPA6M3fFN0vwqjU&#10;mB+3PQxCgQFWbhB9IMLvHz7gSj8R7v+9orNFGGn7dRHmk7ZO1wBji1HI0VcOo5Njeisr6Pd1uchu&#10;ADaMho25o+O9/5HAHI4YgOUaUaTpmppzviQFoTEmhBBCCOnAJNgYwwjeJ7pafQqCgSJgOptqEm8S&#10;nRRhqh2Mbj1BlC2CgYMB3ygCXxbBoMKUNsXMYOohXD8GEYmHwaLXROHzOGPKKMyDC5PWHtgnwvVb&#10;jTHuM6aIsJsrGFNq/VWk55a+QoTfAGAqJUxxVaA+BVuEMdUWngOAOagx9zOmYgIXi2C8AeaixvzE&#10;3xFZ72dTaGwe43jOlxAaY0IIIYSQjkyCjDFa1tDqCKOK+XzRavpD83/MjQdzJYdKWyOKFZiir4tg&#10;UNA6DLN7pghz784QaUM6W4RRITGPbYPpLmIEA4H8R/SY+hQfkYwxuEX0jii8tTsZwD3DSJ9o2YYR&#10;tDPGuJ7/E2H5UCwwQSXH06L31KcgNaLPB/9Vc0s/L4KxxCiaoWlLLGAfaK3FPcf803h+UAECk2wd&#10;VRQjdmLqLq1iEcD562XhrdyaxoxxvOdLUhwaY0IIIYSQDkyCjDHCVmGKrQYFLYkwGgiFXiZCCyFa&#10;e2MBZg3z4cGYzRS9IHKIXhZh8v4bRU+I/iXCdpiQH2HNTQEm7Puiv4sWYEGcNGaMy0S4p3vUp+Tg&#10;DNHvRTtEuhUfFQ5/FOFcI5lMDeZeRNjz70SojNCg8gLLUcmAEOWDIlRaRJvXEM8EWut/KcK0HXbb&#10;olLk56JHzP8BzPyDIq8o0v4bM8ZNPV+SotAYE0IIIYR0YBJkjGFuYCzR+vewCP1PEUo8R4SWxkWi&#10;d0XxhBWfI0J4LUwTjPUp0SwRgHFBazIMMYztp0V3iWBS46VKhNZiGHCEUT8kimcgqMaMMcwX7ulF&#10;6lPbgz7BuNYl6lN97FqMreCe4/7DQMOMRmOlCEYTU23cKkLrOe4xQMv+UdGrIswjiRbbO0Wo3HhK&#10;hO3Dw7dhiL8kQv9mPFcIg9ahz5FozBiH09j5EkJjTAghhBDSkUmQMV4oelaElt4hIrTuLhbBEGKw&#10;piMiDO6EPsKxAiOGMFmYbYRma9MJ4/JT0Xz1qQ6YqmdEaA1FK3U00KKNvtAIFbaeF877IxHCacON&#10;rh2NGWOY+1iNWWuAPr2RzqcxY4y+xgiLj2WgsywRBr0aI0LrNPpZIzwZeluEygI8J1ivgQm13j88&#10;Q9b1VmCoPxGhUiQasRjjWM6XEBpjQgghhJCOTIKMMQwgWvqsoxRbgXFGS+Vk9Sk62A9MCkwLQKsw&#10;NEp9CppmtBZaQ14xojE+o4U62ujGMD0w0GiRthuoC+G1vxHhfvxYhFBxmEM7IhljmDssR//rZEH3&#10;pd6mPtUnkjFGhQPC1u1a+9FKj31qcI9gRvU+ykU6xB73Ca29eBbCmS5CiHxjoE8xRsdGH2OcC0Y9&#10;v0TUGNGMcVPPl6QgNMaEEEIIIR2YBBhjmFH00XxSNFGEMNftIow8fLsIrYEIk8W+N4hiAX1NMciW&#10;W30KtjCiFRf71aAVWsqnaVPVp7oWYxh0a99XDc4TrYLoT4xWbDtDHM5OEc4D5w7BVCJsW7ciYh9o&#10;bUaYN44N414qgtn6nCgZRzXGFFpoFUXrL6Ziwmjfuv82rhH9rK0VC+jH+4AIptQqVBhgAC4NWulx&#10;3VZQwYEKCNwXmNNXRLHcdysIu0YINwZzw7lq8Buj7zl+7wEi635RiQLDjt8AvxlC8dE3GiOka1rq&#10;fEkHhcaYEEIIIaQDk6AWYwzehDlu7YAhxYjDvxbFEuKM8GkYEpgWq5FBK+FZwX9DIKxaj1KsOVd0&#10;XfBfEgXcu5Y2fvgNUXmAFvT2QHs7X9JK0BgTQgghhHRgEmSMCSGkQ0NjTAghhBDSgaExJoSQ6NAY&#10;E0IIIYR0YGiMCSEkOjTGhBBCCCEdGBpjQgiJDo0xIYQQQkgHRozxdCnk/U8X+CiKoqjGRWNMCCGE&#10;ENLBEGOcIwW9S0Q/pCiKohqXmOJvyd+RZhJKCCGEEEIIIYQQQgghhBBCCCGEEEIIIYSQdkZa2v8D&#10;ZpPyn/IsU1sAAAAASUVORK5CYIJQSwECLQAUAAYACAAAACEAsYJntgoBAAATAgAAEwAAAAAAAAAA&#10;AAAAAAAAAAAAW0NvbnRlbnRfVHlwZXNdLnhtbFBLAQItABQABgAIAAAAIQA4/SH/1gAAAJQBAAAL&#10;AAAAAAAAAAAAAAAAADsBAABfcmVscy8ucmVsc1BLAQItABQABgAIAAAAIQBaEi3jIQQAAKQJAAAO&#10;AAAAAAAAAAAAAAAAADoCAABkcnMvZTJvRG9jLnhtbFBLAQItABQABgAIAAAAIQCqJg6+vAAAACEB&#10;AAAZAAAAAAAAAAAAAAAAAIcGAABkcnMvX3JlbHMvZTJvRG9jLnhtbC5yZWxzUEsBAi0AFAAGAAgA&#10;AAAhADp/dkLhAAAACQEAAA8AAAAAAAAAAAAAAAAAegcAAGRycy9kb3ducmV2LnhtbFBLAQItAAoA&#10;AAAAAAAAIQD64j7xhWoBAIVqAQAUAAAAAAAAAAAAAAAAAIgIAABkcnMvbWVkaWEvaW1hZ2UxLnBu&#10;Z1BLBQYAAAAABgAGAHwBAAA/cwEAAAA=&#10;">
                      <v:shape id="圖片 3" o:spid="_x0000_s1030" type="#_x0000_t75" style="position:absolute;width:46831;height:26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vcmxAAAANoAAAAPAAAAZHJzL2Rvd25yZXYueG1sRI9PawIx&#10;FMTvQr9DeIVepGatVMrWKCIIIl78A/b4SJ67y25eliSuq5/eFAo9DjPzG2a26G0jOvKhcqxgPMpA&#10;EGtnKi4UnI7r9y8QISIbbByTgjsFWMxfBjPMjbvxnrpDLESCcMhRQRljm0sZdEkWw8i1xMm7OG8x&#10;JukLaTzeEtw28iPLptJixWmhxJZWJen6cLUK6vG0eWw/7/t6Ey87f+70bvijlXp77ZffICL18T/8&#10;194YBRP4vZJugJw/AQAA//8DAFBLAQItABQABgAIAAAAIQDb4fbL7gAAAIUBAAATAAAAAAAAAAAA&#10;AAAAAAAAAABbQ29udGVudF9UeXBlc10ueG1sUEsBAi0AFAAGAAgAAAAhAFr0LFu/AAAAFQEAAAsA&#10;AAAAAAAAAAAAAAAAHwEAAF9yZWxzLy5yZWxzUEsBAi0AFAAGAAgAAAAhAH3e9ybEAAAA2gAAAA8A&#10;AAAAAAAAAAAAAAAABwIAAGRycy9kb3ducmV2LnhtbFBLBQYAAAAAAwADALcAAAD4AgAAAAA=&#10;">
                        <v:imagedata r:id="rId10" o:title=""/>
                        <v:path arrowok="t"/>
                      </v:shape>
                      <v:shape id="文字方塊 6" o:spid="_x0000_s1031" type="#_x0000_t202" style="position:absolute;left:22097;top:21564;width:24734;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5A67B70E" w14:textId="77777777" w:rsidR="003D543D" w:rsidRPr="000C6B14" w:rsidRDefault="003D543D" w:rsidP="008D1FD5">
                              <w:pPr>
                                <w:adjustRightInd w:val="0"/>
                                <w:snapToGrid w:val="0"/>
                                <w:spacing w:line="240" w:lineRule="auto"/>
                                <w:rPr>
                                  <w:rFonts w:ascii="Times New Roman" w:hAnsi="Times New Roman" w:cs="Times New Roman"/>
                                  <w:color w:val="44546A" w:themeColor="text2"/>
                                  <w:sz w:val="18"/>
                                </w:rPr>
                              </w:pPr>
                              <w:r w:rsidRPr="000C6B14">
                                <w:rPr>
                                  <w:rFonts w:ascii="Times New Roman" w:hAnsi="Times New Roman" w:cs="Times New Roman"/>
                                  <w:color w:val="44546A" w:themeColor="text2"/>
                                  <w:sz w:val="18"/>
                                  <w:lang w:bidi="en-US"/>
                                </w:rPr>
                                <w:t xml:space="preserve">Natural persons holding more than 25% of company A’s shares in the left column are the </w:t>
                              </w:r>
                              <w:r w:rsidRPr="000C6B14">
                                <w:rPr>
                                  <w:rFonts w:ascii="Times New Roman" w:hAnsi="Times New Roman" w:cs="Times New Roman"/>
                                  <w:color w:val="44546A" w:themeColor="text2"/>
                                  <w:sz w:val="18"/>
                                  <w:u w:val="single"/>
                                  <w:lang w:bidi="en-US"/>
                                </w:rPr>
                                <w:t>beneficial</w:t>
                              </w:r>
                              <w:r w:rsidRPr="000C6B14">
                                <w:rPr>
                                  <w:rFonts w:ascii="Times New Roman" w:hAnsi="Times New Roman" w:cs="Times New Roman"/>
                                  <w:color w:val="44546A" w:themeColor="text2"/>
                                  <w:sz w:val="18"/>
                                  <w:lang w:bidi="en-US"/>
                                </w:rPr>
                                <w:t xml:space="preserve"> owners</w:t>
                              </w:r>
                            </w:p>
                          </w:txbxContent>
                        </v:textbox>
                      </v:shape>
                    </v:group>
                  </w:pict>
                </mc:Fallback>
              </mc:AlternateContent>
            </w:r>
          </w:p>
          <w:p w14:paraId="3316F993" w14:textId="77777777" w:rsidR="007C11E6" w:rsidRPr="00474153" w:rsidRDefault="007C11E6">
            <w:pPr>
              <w:jc w:val="both"/>
              <w:rPr>
                <w:rFonts w:ascii="Times New Roman" w:eastAsia="標楷體" w:hAnsi="Times New Roman" w:cs="Times New Roman"/>
                <w:sz w:val="28"/>
                <w:szCs w:val="28"/>
              </w:rPr>
            </w:pPr>
          </w:p>
          <w:p w14:paraId="13715A71" w14:textId="77777777" w:rsidR="007C11E6" w:rsidRPr="00474153" w:rsidRDefault="007C11E6">
            <w:pPr>
              <w:jc w:val="both"/>
              <w:rPr>
                <w:rFonts w:ascii="Times New Roman" w:eastAsia="標楷體" w:hAnsi="Times New Roman" w:cs="Times New Roman"/>
                <w:noProof/>
                <w:sz w:val="28"/>
                <w:szCs w:val="28"/>
              </w:rPr>
            </w:pPr>
          </w:p>
          <w:p w14:paraId="7EA752F3" w14:textId="77777777" w:rsidR="007C11E6" w:rsidRPr="00474153" w:rsidRDefault="007C11E6">
            <w:pPr>
              <w:jc w:val="both"/>
              <w:rPr>
                <w:rFonts w:ascii="Times New Roman" w:eastAsia="標楷體" w:hAnsi="Times New Roman" w:cs="Times New Roman"/>
                <w:noProof/>
                <w:sz w:val="28"/>
                <w:szCs w:val="28"/>
              </w:rPr>
            </w:pPr>
          </w:p>
          <w:p w14:paraId="7426336E" w14:textId="77777777" w:rsidR="007C11E6" w:rsidRPr="00474153" w:rsidRDefault="007C11E6">
            <w:pPr>
              <w:jc w:val="both"/>
              <w:rPr>
                <w:rFonts w:ascii="Times New Roman" w:eastAsia="標楷體" w:hAnsi="Times New Roman" w:cs="Times New Roman"/>
                <w:noProof/>
                <w:sz w:val="28"/>
                <w:szCs w:val="28"/>
              </w:rPr>
            </w:pPr>
          </w:p>
          <w:p w14:paraId="788FE63D" w14:textId="77777777" w:rsidR="007C11E6" w:rsidRPr="00474153" w:rsidRDefault="007C11E6">
            <w:pPr>
              <w:jc w:val="both"/>
              <w:rPr>
                <w:rFonts w:ascii="Times New Roman" w:eastAsia="標楷體" w:hAnsi="Times New Roman" w:cs="Times New Roman"/>
                <w:noProof/>
                <w:sz w:val="28"/>
                <w:szCs w:val="28"/>
              </w:rPr>
            </w:pPr>
          </w:p>
          <w:p w14:paraId="4380A5ED" w14:textId="77777777" w:rsidR="007C11E6" w:rsidRPr="00474153" w:rsidRDefault="007C11E6">
            <w:pPr>
              <w:jc w:val="both"/>
              <w:rPr>
                <w:rFonts w:ascii="Times New Roman" w:eastAsia="標楷體" w:hAnsi="Times New Roman" w:cs="Times New Roman"/>
                <w:noProof/>
                <w:sz w:val="28"/>
                <w:szCs w:val="28"/>
              </w:rPr>
            </w:pPr>
          </w:p>
          <w:p w14:paraId="396A4100" w14:textId="77777777" w:rsidR="007C11E6" w:rsidRPr="00474153" w:rsidRDefault="007C11E6">
            <w:pPr>
              <w:jc w:val="both"/>
              <w:rPr>
                <w:rFonts w:ascii="Times New Roman" w:eastAsia="標楷體" w:hAnsi="Times New Roman" w:cs="Times New Roman"/>
                <w:noProof/>
                <w:sz w:val="28"/>
                <w:szCs w:val="28"/>
              </w:rPr>
            </w:pPr>
          </w:p>
          <w:p w14:paraId="3C4C76EA" w14:textId="77777777" w:rsidR="007C11E6" w:rsidRPr="00474153" w:rsidRDefault="007C11E6">
            <w:pPr>
              <w:jc w:val="both"/>
              <w:rPr>
                <w:rFonts w:ascii="Times New Roman" w:eastAsia="標楷體" w:hAnsi="Times New Roman" w:cs="Times New Roman"/>
                <w:noProof/>
                <w:sz w:val="28"/>
                <w:szCs w:val="28"/>
              </w:rPr>
            </w:pPr>
          </w:p>
          <w:p w14:paraId="5C7AC7A6" w14:textId="77777777" w:rsidR="007C11E6" w:rsidRPr="00474153" w:rsidRDefault="007C11E6">
            <w:pPr>
              <w:jc w:val="both"/>
              <w:rPr>
                <w:rFonts w:ascii="Times New Roman" w:eastAsia="標楷體" w:hAnsi="Times New Roman" w:cs="Times New Roman"/>
                <w:noProof/>
                <w:sz w:val="28"/>
                <w:szCs w:val="28"/>
              </w:rPr>
            </w:pPr>
          </w:p>
          <w:p w14:paraId="6D4A0092" w14:textId="77777777" w:rsidR="007C11E6" w:rsidRPr="00474153" w:rsidRDefault="007C11E6">
            <w:pPr>
              <w:jc w:val="both"/>
              <w:rPr>
                <w:rFonts w:ascii="Times New Roman" w:eastAsia="標楷體" w:hAnsi="Times New Roman" w:cs="Times New Roman"/>
                <w:noProof/>
                <w:sz w:val="28"/>
                <w:szCs w:val="28"/>
              </w:rPr>
            </w:pPr>
          </w:p>
          <w:p w14:paraId="4B04D600" w14:textId="77777777" w:rsidR="007C11E6" w:rsidRPr="00474153" w:rsidRDefault="007C11E6">
            <w:pPr>
              <w:jc w:val="both"/>
              <w:rPr>
                <w:rFonts w:ascii="Times New Roman" w:eastAsia="標楷體" w:hAnsi="Times New Roman" w:cs="Times New Roman"/>
                <w:noProof/>
                <w:sz w:val="28"/>
                <w:szCs w:val="28"/>
              </w:rPr>
            </w:pPr>
          </w:p>
          <w:p w14:paraId="1392ACAC" w14:textId="77777777" w:rsidR="007C11E6" w:rsidRPr="00474153" w:rsidRDefault="007C11E6">
            <w:pPr>
              <w:pStyle w:val="a4"/>
              <w:snapToGrid w:val="0"/>
              <w:spacing w:line="400" w:lineRule="exact"/>
              <w:ind w:leftChars="0" w:left="560" w:hangingChars="200" w:hanging="560"/>
              <w:jc w:val="both"/>
              <w:rPr>
                <w:rFonts w:ascii="Times New Roman" w:eastAsia="標楷體" w:hAnsi="Times New Roman"/>
                <w:sz w:val="28"/>
                <w:szCs w:val="28"/>
              </w:rPr>
            </w:pPr>
            <w:r w:rsidRPr="00474153">
              <w:rPr>
                <w:rFonts w:ascii="Times New Roman" w:hAnsi="Times New Roman"/>
                <w:sz w:val="28"/>
                <w:lang w:bidi="en-US"/>
              </w:rPr>
              <w:t>Note: Non-natural person shareholders (such as Company X shown in the above Figure) with less than 25% shareholding interest/capital contribution may be considered as non-beneficial owners if they exercise no significant influence over the corporate customer (such as Company A shown in the above Figure), provided that the bank has undertaken reasonable efforts to establish its findings.</w:t>
            </w:r>
          </w:p>
        </w:tc>
        <w:tc>
          <w:tcPr>
            <w:tcW w:w="4645" w:type="dxa"/>
            <w:shd w:val="clear" w:color="auto" w:fill="auto"/>
          </w:tcPr>
          <w:p w14:paraId="7CF700D2" w14:textId="77777777" w:rsidR="007C11E6" w:rsidRPr="00474153" w:rsidRDefault="00FA6FB1">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7C11E6" w:rsidRPr="00474153" w14:paraId="2A641D7F" w14:textId="77777777" w:rsidTr="00E419A6">
        <w:tc>
          <w:tcPr>
            <w:tcW w:w="510" w:type="dxa"/>
            <w:shd w:val="clear" w:color="auto" w:fill="auto"/>
          </w:tcPr>
          <w:p w14:paraId="0DBE433F" w14:textId="77777777" w:rsidR="007C11E6"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13</w:t>
            </w:r>
          </w:p>
        </w:tc>
        <w:tc>
          <w:tcPr>
            <w:tcW w:w="8335" w:type="dxa"/>
            <w:shd w:val="clear" w:color="auto" w:fill="auto"/>
          </w:tcPr>
          <w:p w14:paraId="572686AD" w14:textId="1250BAB8" w:rsidR="002902CD" w:rsidRPr="00474153" w:rsidRDefault="002902CD">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10</w:t>
            </w:r>
            <w:r w:rsidRPr="00474153">
              <w:rPr>
                <w:rFonts w:ascii="Times New Roman" w:hAnsi="Times New Roman"/>
                <w:sz w:val="28"/>
                <w:lang w:bidi="en-US"/>
              </w:rPr>
              <w:t>: In the first step of identifying the beneficial owners, what information should be obtained from corporate entities or NPO clients to determine whether or not there are natural persons with more than 25% shareholding/capital contribution?</w:t>
            </w:r>
          </w:p>
          <w:p w14:paraId="7C097CED" w14:textId="3E17E535" w:rsidR="002902CD" w:rsidRPr="00474153" w:rsidRDefault="002902CD" w:rsidP="00A56215">
            <w:pPr>
              <w:pStyle w:val="a4"/>
              <w:snapToGrid w:val="0"/>
              <w:spacing w:line="400" w:lineRule="exact"/>
              <w:ind w:leftChars="0" w:left="423" w:hangingChars="151" w:hanging="423"/>
              <w:jc w:val="both"/>
              <w:rPr>
                <w:rFonts w:ascii="Times New Roman" w:eastAsia="標楷體" w:hAnsi="Times New Roman"/>
                <w:bCs/>
                <w:caps/>
                <w:sz w:val="28"/>
                <w:szCs w:val="28"/>
              </w:rPr>
            </w:pPr>
            <w:r w:rsidRPr="00474153">
              <w:rPr>
                <w:rFonts w:ascii="Times New Roman" w:hAnsi="Times New Roman"/>
                <w:sz w:val="28"/>
                <w:lang w:bidi="en-US"/>
              </w:rPr>
              <w:t>A</w:t>
            </w:r>
            <w:r w:rsidR="00AF3B50" w:rsidRPr="00474153">
              <w:rPr>
                <w:rFonts w:ascii="Times New Roman" w:hAnsi="Times New Roman"/>
                <w:color w:val="FF0000"/>
                <w:sz w:val="28"/>
                <w:u w:val="single"/>
                <w:lang w:bidi="en-US"/>
              </w:rPr>
              <w:t>10</w:t>
            </w:r>
            <w:r w:rsidRPr="00474153">
              <w:rPr>
                <w:rFonts w:ascii="Times New Roman" w:hAnsi="Times New Roman"/>
                <w:sz w:val="28"/>
                <w:lang w:bidi="en-US"/>
              </w:rPr>
              <w:t>:</w:t>
            </w:r>
          </w:p>
          <w:p w14:paraId="130A8763" w14:textId="607AFF95" w:rsidR="002902CD" w:rsidRPr="00474153" w:rsidRDefault="002902CD">
            <w:pPr>
              <w:pStyle w:val="a4"/>
              <w:numPr>
                <w:ilvl w:val="0"/>
                <w:numId w:val="15"/>
              </w:numPr>
              <w:spacing w:line="400" w:lineRule="exact"/>
              <w:ind w:leftChars="0" w:left="574" w:rightChars="-15" w:right="-36" w:hanging="574"/>
              <w:jc w:val="both"/>
              <w:rPr>
                <w:rFonts w:ascii="Times New Roman" w:eastAsia="標楷體" w:hAnsi="Times New Roman"/>
                <w:bCs/>
                <w:caps/>
                <w:sz w:val="28"/>
                <w:szCs w:val="28"/>
              </w:rPr>
            </w:pPr>
            <w:r w:rsidRPr="00474153">
              <w:rPr>
                <w:rFonts w:ascii="Times New Roman" w:hAnsi="Times New Roman"/>
                <w:sz w:val="28"/>
                <w:lang w:bidi="en-US"/>
              </w:rPr>
              <w:lastRenderedPageBreak/>
              <w:t xml:space="preserve">Basically, banks should obtain a shareholder’s registry, a proof of capital contribution or any documents </w:t>
            </w:r>
            <w:r w:rsidR="000C6B14" w:rsidRPr="00474153">
              <w:rPr>
                <w:rFonts w:ascii="Times New Roman" w:hAnsi="Times New Roman"/>
                <w:sz w:val="28"/>
                <w:lang w:bidi="en-US"/>
              </w:rPr>
              <w:t>sufficient enough</w:t>
            </w:r>
            <w:r w:rsidRPr="00474153">
              <w:rPr>
                <w:rFonts w:ascii="Times New Roman" w:hAnsi="Times New Roman"/>
                <w:sz w:val="28"/>
                <w:lang w:bidi="en-US"/>
              </w:rPr>
              <w:t xml:space="preserve"> to establish equity ownership or capital contribution in the corporate or NPO customer and maintain trails of all identification steps taken.</w:t>
            </w:r>
          </w:p>
          <w:p w14:paraId="15F89B0A" w14:textId="77777777" w:rsidR="002902CD" w:rsidRPr="00474153" w:rsidRDefault="002902CD">
            <w:pPr>
              <w:pStyle w:val="a4"/>
              <w:numPr>
                <w:ilvl w:val="0"/>
                <w:numId w:val="15"/>
              </w:numPr>
              <w:spacing w:line="400" w:lineRule="exact"/>
              <w:ind w:leftChars="0" w:left="574" w:rightChars="-15" w:right="-36" w:hanging="574"/>
              <w:jc w:val="both"/>
              <w:rPr>
                <w:rFonts w:ascii="Times New Roman" w:eastAsia="標楷體" w:hAnsi="Times New Roman"/>
                <w:bCs/>
                <w:caps/>
                <w:sz w:val="28"/>
                <w:szCs w:val="28"/>
              </w:rPr>
            </w:pPr>
            <w:r w:rsidRPr="00474153">
              <w:rPr>
                <w:rFonts w:ascii="Times New Roman" w:hAnsi="Times New Roman"/>
                <w:sz w:val="28"/>
                <w:lang w:bidi="en-US"/>
              </w:rPr>
              <w:t>For corporate customers with non-natural person shareholders (referred to as NNPS below), banks may identify beneficial owners using the following methods or other reasonable measures:</w:t>
            </w:r>
          </w:p>
          <w:p w14:paraId="7D607957" w14:textId="77777777" w:rsidR="002902CD" w:rsidRPr="00474153" w:rsidRDefault="002902CD">
            <w:pPr>
              <w:pStyle w:val="a4"/>
              <w:snapToGrid w:val="0"/>
              <w:spacing w:line="400" w:lineRule="exact"/>
              <w:ind w:leftChars="233" w:left="853" w:rightChars="-15" w:right="-36" w:hangingChars="105" w:hanging="294"/>
              <w:jc w:val="both"/>
              <w:rPr>
                <w:rFonts w:ascii="Times New Roman" w:eastAsia="標楷體" w:hAnsi="Times New Roman"/>
                <w:bCs/>
                <w:caps/>
                <w:sz w:val="28"/>
                <w:szCs w:val="28"/>
              </w:rPr>
            </w:pPr>
            <w:r w:rsidRPr="00474153">
              <w:rPr>
                <w:rFonts w:ascii="Times New Roman" w:hAnsi="Times New Roman"/>
                <w:sz w:val="28"/>
                <w:lang w:bidi="en-US"/>
              </w:rPr>
              <w:t>A. The bank may again obtain the shareholder’s registry, proof of capital contribution, or certificate approved by the bank of the non-natural person shareholder until it is identified whether or not there is a natural person holding more than 25% of the shareholding/capital of the corporate client (please refer to Q13 regarding the identification method for holding more than 25%).</w:t>
            </w:r>
          </w:p>
          <w:p w14:paraId="791BECF9" w14:textId="77777777" w:rsidR="007C11E6" w:rsidRPr="00474153" w:rsidRDefault="002902CD">
            <w:pPr>
              <w:snapToGrid w:val="0"/>
              <w:ind w:leftChars="200" w:left="760" w:rightChars="-15" w:right="-36" w:hangingChars="100" w:hanging="280"/>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B. The bank may adopt a risk-based method with a statement issued by the customer (the content of the statement may include the company name, company registration location, equity or control structure chart, information on the beneficial owner who directly and indirectly holds more than 25% of the shareholding, and the reason for the establishment of a multi-layer equity structure, etc.) to conduct the identification process. When adopting this solution, banks should assist customers in the construction of an organizational chart and have customers confirm the final result.</w:t>
            </w:r>
          </w:p>
        </w:tc>
        <w:tc>
          <w:tcPr>
            <w:tcW w:w="8335" w:type="dxa"/>
            <w:shd w:val="clear" w:color="auto" w:fill="auto"/>
          </w:tcPr>
          <w:p w14:paraId="3F5EFBBA" w14:textId="77777777" w:rsidR="007C11E6" w:rsidRPr="00474153" w:rsidRDefault="007C11E6">
            <w:pPr>
              <w:pStyle w:val="a4"/>
              <w:snapToGrid w:val="0"/>
              <w:spacing w:line="400" w:lineRule="exact"/>
              <w:ind w:leftChars="6" w:left="644" w:hangingChars="225" w:hanging="630"/>
              <w:jc w:val="both"/>
              <w:rPr>
                <w:rFonts w:ascii="Times New Roman" w:eastAsia="標楷體" w:hAnsi="Times New Roman"/>
                <w:bCs/>
                <w:caps/>
                <w:color w:val="FF0000"/>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13</w:t>
            </w:r>
            <w:r w:rsidRPr="00474153">
              <w:rPr>
                <w:rFonts w:ascii="Times New Roman" w:hAnsi="Times New Roman"/>
                <w:color w:val="FF0000"/>
                <w:sz w:val="28"/>
                <w:lang w:bidi="en-US"/>
              </w:rPr>
              <w:t>:</w:t>
            </w:r>
            <w:r w:rsidRPr="00474153">
              <w:rPr>
                <w:rFonts w:ascii="Times New Roman" w:hAnsi="Times New Roman"/>
                <w:sz w:val="28"/>
                <w:lang w:bidi="en-US"/>
              </w:rPr>
              <w:t xml:space="preserve"> In the first step of identifying the beneficial owners, what information should be obtained from corporate entities or NPO clients to determine whether or not there are natural persons with more than 25% shareholding/capital contribution?</w:t>
            </w:r>
          </w:p>
          <w:p w14:paraId="39EBDE5F" w14:textId="77777777" w:rsidR="007C11E6" w:rsidRPr="00474153" w:rsidRDefault="007C11E6" w:rsidP="00A56215">
            <w:pPr>
              <w:pStyle w:val="a4"/>
              <w:snapToGrid w:val="0"/>
              <w:spacing w:line="400" w:lineRule="exact"/>
              <w:ind w:leftChars="0" w:left="423" w:hangingChars="151" w:hanging="423"/>
              <w:jc w:val="both"/>
              <w:rPr>
                <w:rFonts w:ascii="Times New Roman" w:eastAsia="標楷體" w:hAnsi="Times New Roman"/>
                <w:bCs/>
                <w:caps/>
                <w:color w:val="FF0000"/>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13</w:t>
            </w:r>
            <w:r w:rsidRPr="00474153">
              <w:rPr>
                <w:rFonts w:ascii="Times New Roman" w:hAnsi="Times New Roman"/>
                <w:color w:val="FF0000"/>
                <w:sz w:val="28"/>
                <w:lang w:bidi="en-US"/>
              </w:rPr>
              <w:t>:</w:t>
            </w:r>
            <w:r w:rsidRPr="00474153">
              <w:rPr>
                <w:rFonts w:ascii="Times New Roman" w:hAnsi="Times New Roman"/>
                <w:sz w:val="28"/>
                <w:lang w:bidi="en-US"/>
              </w:rPr>
              <w:t xml:space="preserve"> </w:t>
            </w:r>
          </w:p>
          <w:p w14:paraId="28BEA726" w14:textId="37DA59E2" w:rsidR="007C11E6" w:rsidRPr="00474153" w:rsidRDefault="007C11E6" w:rsidP="00A56215">
            <w:pPr>
              <w:pStyle w:val="a4"/>
              <w:numPr>
                <w:ilvl w:val="0"/>
                <w:numId w:val="96"/>
              </w:numPr>
              <w:spacing w:line="400" w:lineRule="exact"/>
              <w:ind w:leftChars="0" w:left="574" w:rightChars="-15" w:right="-36" w:hanging="574"/>
              <w:jc w:val="both"/>
              <w:rPr>
                <w:rFonts w:ascii="Times New Roman" w:eastAsia="標楷體" w:hAnsi="Times New Roman"/>
                <w:bCs/>
                <w:caps/>
                <w:sz w:val="28"/>
                <w:szCs w:val="28"/>
              </w:rPr>
            </w:pPr>
            <w:r w:rsidRPr="00474153">
              <w:rPr>
                <w:rFonts w:ascii="Times New Roman" w:hAnsi="Times New Roman"/>
                <w:sz w:val="28"/>
                <w:lang w:bidi="en-US"/>
              </w:rPr>
              <w:lastRenderedPageBreak/>
              <w:t xml:space="preserve">Basically, banks should obtain a shareholder’s registry, a proof of capital contribution or any documents </w:t>
            </w:r>
            <w:r w:rsidR="000C6B14" w:rsidRPr="00474153">
              <w:rPr>
                <w:rFonts w:ascii="Times New Roman" w:hAnsi="Times New Roman"/>
                <w:sz w:val="28"/>
                <w:lang w:bidi="en-US"/>
              </w:rPr>
              <w:t>sufficient enough</w:t>
            </w:r>
            <w:r w:rsidRPr="00474153">
              <w:rPr>
                <w:rFonts w:ascii="Times New Roman" w:hAnsi="Times New Roman"/>
                <w:sz w:val="28"/>
                <w:lang w:bidi="en-US"/>
              </w:rPr>
              <w:t xml:space="preserve"> to establish equity ownership or capital contribution in the corporate or NPO customer and maintain trails of all identification steps taken.</w:t>
            </w:r>
          </w:p>
          <w:p w14:paraId="351F1EF8" w14:textId="77777777" w:rsidR="007C11E6" w:rsidRPr="00474153" w:rsidRDefault="007C11E6">
            <w:pPr>
              <w:pStyle w:val="a4"/>
              <w:numPr>
                <w:ilvl w:val="0"/>
                <w:numId w:val="96"/>
              </w:numPr>
              <w:spacing w:line="400" w:lineRule="exact"/>
              <w:ind w:leftChars="0" w:left="574" w:rightChars="-15" w:right="-36" w:hanging="574"/>
              <w:jc w:val="both"/>
              <w:rPr>
                <w:rFonts w:ascii="Times New Roman" w:eastAsia="標楷體" w:hAnsi="Times New Roman"/>
                <w:bCs/>
                <w:caps/>
                <w:sz w:val="28"/>
                <w:szCs w:val="28"/>
              </w:rPr>
            </w:pPr>
            <w:r w:rsidRPr="00474153">
              <w:rPr>
                <w:rFonts w:ascii="Times New Roman" w:hAnsi="Times New Roman"/>
                <w:sz w:val="28"/>
                <w:lang w:bidi="en-US"/>
              </w:rPr>
              <w:t>For corporate customers with non-natural person shareholders (referred to as NNPS below), banks may identify beneficial owners using the following methods or other reasonable measures:</w:t>
            </w:r>
          </w:p>
          <w:p w14:paraId="05F3D27C" w14:textId="77777777" w:rsidR="007C11E6" w:rsidRPr="00474153" w:rsidRDefault="007C11E6">
            <w:pPr>
              <w:pStyle w:val="a4"/>
              <w:snapToGrid w:val="0"/>
              <w:spacing w:line="400" w:lineRule="exact"/>
              <w:ind w:leftChars="233" w:left="853" w:rightChars="-15" w:right="-36" w:hangingChars="105" w:hanging="294"/>
              <w:jc w:val="both"/>
              <w:rPr>
                <w:rFonts w:ascii="Times New Roman" w:eastAsia="標楷體" w:hAnsi="Times New Roman"/>
                <w:bCs/>
                <w:caps/>
                <w:sz w:val="28"/>
                <w:szCs w:val="28"/>
              </w:rPr>
            </w:pPr>
            <w:r w:rsidRPr="00474153">
              <w:rPr>
                <w:rFonts w:ascii="Times New Roman" w:hAnsi="Times New Roman"/>
                <w:sz w:val="28"/>
                <w:lang w:bidi="en-US"/>
              </w:rPr>
              <w:t>A. The bank may again obtain the shareholder’s registry, proof of capital contribution, or certificate approved by the bank of the non-natural person shareholder until it is identified whether or not there is a natural person holding more than 25% of the shareholding/capital of the corporate client (please refer to Q13 regarding the identification method for holding more than 25%).</w:t>
            </w:r>
          </w:p>
          <w:p w14:paraId="75DE8FF9" w14:textId="77777777" w:rsidR="007C11E6" w:rsidRPr="00474153" w:rsidRDefault="007C11E6">
            <w:pPr>
              <w:pStyle w:val="a4"/>
              <w:snapToGrid w:val="0"/>
              <w:spacing w:line="400" w:lineRule="exact"/>
              <w:ind w:leftChars="233" w:left="853" w:rightChars="-15" w:right="-36" w:hangingChars="105" w:hanging="294"/>
              <w:jc w:val="both"/>
              <w:rPr>
                <w:rFonts w:ascii="Times New Roman" w:eastAsia="標楷體" w:hAnsi="Times New Roman"/>
                <w:bCs/>
                <w:caps/>
                <w:sz w:val="28"/>
                <w:szCs w:val="28"/>
              </w:rPr>
            </w:pPr>
            <w:r w:rsidRPr="00474153">
              <w:rPr>
                <w:rFonts w:ascii="Times New Roman" w:hAnsi="Times New Roman"/>
                <w:sz w:val="28"/>
                <w:lang w:bidi="en-US"/>
              </w:rPr>
              <w:t>B. The bank may adopt a risk-based method with a statement issued by the customer (the content of the statement may include the company name, company registration location, equity or control structure chart, information on the beneficial owner who directly and indirectly holds more than 25% of the shareholding, and the reason for the establishment of a multi-layer equity structure, etc.) to conduct the identification process. When adopting this solution, banks should assist customers in the construction of an organizational chart and have customers confirm the final result.</w:t>
            </w:r>
          </w:p>
        </w:tc>
        <w:tc>
          <w:tcPr>
            <w:tcW w:w="4645" w:type="dxa"/>
            <w:shd w:val="clear" w:color="auto" w:fill="auto"/>
          </w:tcPr>
          <w:p w14:paraId="224E2166" w14:textId="051F1F76" w:rsidR="00CA2D44" w:rsidRPr="00474153" w:rsidRDefault="002902CD" w:rsidP="00A56215">
            <w:pPr>
              <w:rPr>
                <w:rFonts w:ascii="Times New Roman" w:eastAsia="標楷體" w:hAnsi="Times New Roman" w:cs="Times New Roman"/>
                <w:bCs/>
                <w:caps/>
                <w:sz w:val="28"/>
                <w:szCs w:val="28"/>
              </w:rPr>
            </w:pPr>
            <w:r w:rsidRPr="00474153">
              <w:rPr>
                <w:rFonts w:ascii="Times New Roman" w:hAnsi="Times New Roman" w:cs="Times New Roman"/>
                <w:sz w:val="28"/>
                <w:lang w:bidi="en-US"/>
              </w:rPr>
              <w:lastRenderedPageBreak/>
              <w:t>Question number changed</w:t>
            </w:r>
          </w:p>
        </w:tc>
      </w:tr>
      <w:tr w:rsidR="007C11E6" w:rsidRPr="00474153" w14:paraId="26B027A6" w14:textId="77777777" w:rsidTr="00E419A6">
        <w:tc>
          <w:tcPr>
            <w:tcW w:w="510" w:type="dxa"/>
            <w:shd w:val="clear" w:color="auto" w:fill="auto"/>
          </w:tcPr>
          <w:p w14:paraId="5DCC6A00" w14:textId="77777777" w:rsidR="007C11E6"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14</w:t>
            </w:r>
          </w:p>
        </w:tc>
        <w:tc>
          <w:tcPr>
            <w:tcW w:w="8335" w:type="dxa"/>
            <w:shd w:val="clear" w:color="auto" w:fill="auto"/>
          </w:tcPr>
          <w:p w14:paraId="060B6C2D" w14:textId="77777777" w:rsidR="007C11E6" w:rsidRPr="00474153" w:rsidRDefault="007C11E6">
            <w:pPr>
              <w:snapToGrid w:val="0"/>
              <w:jc w:val="both"/>
              <w:rPr>
                <w:rFonts w:ascii="Times New Roman" w:eastAsia="標楷體" w:hAnsi="Times New Roman" w:cs="Times New Roman"/>
                <w:sz w:val="28"/>
                <w:szCs w:val="28"/>
                <w:u w:val="single"/>
              </w:rPr>
            </w:pPr>
          </w:p>
        </w:tc>
        <w:tc>
          <w:tcPr>
            <w:tcW w:w="8335" w:type="dxa"/>
            <w:shd w:val="clear" w:color="auto" w:fill="auto"/>
          </w:tcPr>
          <w:p w14:paraId="7F41BC95" w14:textId="77777777" w:rsidR="007C11E6" w:rsidRPr="00474153" w:rsidRDefault="007C11E6">
            <w:pPr>
              <w:pStyle w:val="a4"/>
              <w:snapToGrid w:val="0"/>
              <w:spacing w:line="400" w:lineRule="exact"/>
              <w:ind w:leftChars="6" w:left="644" w:hangingChars="225" w:hanging="63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Q14: In the first step of identifying the beneficial owner, what to do if there is no single beneficial owner with more than 25% shareholdings/capital contribution?</w:t>
            </w:r>
          </w:p>
          <w:p w14:paraId="17EC8FDA" w14:textId="77777777" w:rsidR="007C11E6" w:rsidRPr="00474153" w:rsidRDefault="007C11E6">
            <w:pPr>
              <w:pStyle w:val="a4"/>
              <w:snapToGrid w:val="0"/>
              <w:spacing w:line="400" w:lineRule="exact"/>
              <w:ind w:leftChars="0" w:left="566" w:hangingChars="202" w:hanging="566"/>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A14:</w:t>
            </w:r>
          </w:p>
          <w:p w14:paraId="69574B13" w14:textId="77777777" w:rsidR="007C11E6" w:rsidRPr="00474153" w:rsidRDefault="007C11E6">
            <w:pPr>
              <w:pStyle w:val="a4"/>
              <w:snapToGrid w:val="0"/>
              <w:spacing w:line="400" w:lineRule="exact"/>
              <w:ind w:leftChars="0" w:left="0"/>
              <w:jc w:val="both"/>
              <w:rPr>
                <w:rFonts w:ascii="Times New Roman" w:eastAsia="標楷體" w:hAnsi="Times New Roman"/>
                <w:color w:val="FF0000"/>
                <w:sz w:val="28"/>
                <w:szCs w:val="28"/>
              </w:rPr>
            </w:pPr>
            <w:r w:rsidRPr="00474153">
              <w:rPr>
                <w:rFonts w:ascii="Times New Roman" w:hAnsi="Times New Roman"/>
                <w:color w:val="FF0000"/>
                <w:sz w:val="28"/>
                <w:lang w:bidi="en-US"/>
              </w:rPr>
              <w:t xml:space="preserve">Subparagraph 7, Article 4 of the Model Guidelines states that if the customer is a corporate entity or NPO with no identifiable natural-person controller (meaning that no person has more than 25% shareholding interest or capital contribution in the corporate entity/NPO), banks should try to identify the natural persons who exercise control over the customer through other methods. If banks remain unable to identify the natural-person controllers from the above, they shall identify the senior </w:t>
            </w:r>
            <w:r w:rsidRPr="00474153">
              <w:rPr>
                <w:rFonts w:ascii="Times New Roman" w:hAnsi="Times New Roman"/>
                <w:color w:val="FF0000"/>
                <w:sz w:val="28"/>
                <w:lang w:bidi="en-US"/>
              </w:rPr>
              <w:lastRenderedPageBreak/>
              <w:t>managers, instead.</w:t>
            </w:r>
          </w:p>
          <w:p w14:paraId="54E81089" w14:textId="77777777" w:rsidR="007C11E6" w:rsidRPr="00474153" w:rsidRDefault="007C11E6">
            <w:pPr>
              <w:snapToGrid w:val="0"/>
              <w:jc w:val="both"/>
              <w:rPr>
                <w:rFonts w:ascii="Times New Roman" w:eastAsia="標楷體" w:hAnsi="Times New Roman" w:cs="Times New Roman"/>
                <w:sz w:val="28"/>
                <w:szCs w:val="28"/>
              </w:rPr>
            </w:pPr>
            <w:r w:rsidRPr="00474153">
              <w:rPr>
                <w:rFonts w:ascii="Times New Roman" w:hAnsi="Times New Roman" w:cs="Times New Roman"/>
                <w:color w:val="FF0000"/>
                <w:sz w:val="28"/>
                <w:lang w:bidi="en-US"/>
              </w:rPr>
              <w:t>The measures for identifying a beneficial owner stated in Sub-item 1 to 3, Item 1, Subparagraph 7, Article 4 of the Model Guidelines are not selective. It is necessary to check item by item of the listed measures. If the beneficial owner cannot be identified in Sub-item 1, the next item of measures should be implemented to identify the beneficial owner.</w:t>
            </w:r>
          </w:p>
        </w:tc>
        <w:tc>
          <w:tcPr>
            <w:tcW w:w="4645" w:type="dxa"/>
            <w:shd w:val="clear" w:color="auto" w:fill="auto"/>
          </w:tcPr>
          <w:p w14:paraId="65CF428A" w14:textId="77777777" w:rsidR="00A30314" w:rsidRPr="00474153" w:rsidRDefault="00A30314" w:rsidP="00A56215">
            <w:pPr>
              <w:pStyle w:val="a4"/>
              <w:numPr>
                <w:ilvl w:val="0"/>
                <w:numId w:val="116"/>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This question is deleted.</w:t>
            </w:r>
          </w:p>
          <w:p w14:paraId="5B38A21D" w14:textId="77777777" w:rsidR="007C11E6" w:rsidRPr="00474153" w:rsidRDefault="00833845" w:rsidP="00A56215">
            <w:pPr>
              <w:pStyle w:val="a4"/>
              <w:numPr>
                <w:ilvl w:val="0"/>
                <w:numId w:val="116"/>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t>Due to the process of handling a situation where no beneficial owner is holding more than 25% shareholdings/capital identified is detailed in Item 2, Subparagraph 1, Note 3 and Item 3, Subparagraph 1, this question is deleted.</w:t>
            </w:r>
          </w:p>
        </w:tc>
      </w:tr>
      <w:tr w:rsidR="007C11E6" w:rsidRPr="00474153" w14:paraId="0CDC5CB7" w14:textId="77777777" w:rsidTr="00E419A6">
        <w:tc>
          <w:tcPr>
            <w:tcW w:w="510" w:type="dxa"/>
            <w:shd w:val="clear" w:color="auto" w:fill="auto"/>
          </w:tcPr>
          <w:p w14:paraId="4EEDE179" w14:textId="77777777" w:rsidR="007C11E6"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15</w:t>
            </w:r>
          </w:p>
        </w:tc>
        <w:tc>
          <w:tcPr>
            <w:tcW w:w="8335" w:type="dxa"/>
            <w:shd w:val="clear" w:color="auto" w:fill="auto"/>
          </w:tcPr>
          <w:p w14:paraId="16EFB474" w14:textId="1606AA11" w:rsidR="002D137E" w:rsidRPr="00474153" w:rsidRDefault="009B2390">
            <w:pPr>
              <w:snapToGrid w:val="0"/>
              <w:ind w:leftChars="6" w:left="644" w:hangingChars="225" w:hanging="630"/>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Q</w:t>
            </w:r>
            <w:r w:rsidR="009561D9" w:rsidRPr="00474153">
              <w:rPr>
                <w:rFonts w:ascii="Times New Roman" w:hAnsi="Times New Roman" w:cs="Times New Roman"/>
                <w:color w:val="FF0000"/>
                <w:sz w:val="28"/>
                <w:u w:val="single"/>
                <w:lang w:bidi="en-US"/>
              </w:rPr>
              <w:t>11</w:t>
            </w:r>
            <w:r w:rsidRPr="00474153">
              <w:rPr>
                <w:rFonts w:ascii="Times New Roman" w:hAnsi="Times New Roman" w:cs="Times New Roman"/>
                <w:sz w:val="28"/>
                <w:lang w:bidi="en-US"/>
              </w:rPr>
              <w:t>: When the beneficial owner is known, what personal information of the beneficial owner should be obtained from the corporate entities or NPO?</w:t>
            </w:r>
          </w:p>
          <w:p w14:paraId="04EA8349" w14:textId="18B70A7F" w:rsidR="002D137E" w:rsidRPr="00474153" w:rsidRDefault="009B2390">
            <w:pPr>
              <w:snapToGrid w:val="0"/>
              <w:ind w:left="848" w:hangingChars="303" w:hanging="84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009561D9" w:rsidRPr="00474153">
              <w:rPr>
                <w:rFonts w:ascii="Times New Roman" w:hAnsi="Times New Roman" w:cs="Times New Roman"/>
                <w:color w:val="FF0000"/>
                <w:sz w:val="28"/>
                <w:u w:val="single"/>
                <w:lang w:bidi="en-US"/>
              </w:rPr>
              <w:t>11</w:t>
            </w:r>
            <w:r w:rsidRPr="00474153">
              <w:rPr>
                <w:rFonts w:ascii="Times New Roman" w:hAnsi="Times New Roman" w:cs="Times New Roman"/>
                <w:sz w:val="28"/>
                <w:lang w:bidi="en-US"/>
              </w:rPr>
              <w:t>:</w:t>
            </w:r>
          </w:p>
          <w:p w14:paraId="33BB4363" w14:textId="77777777" w:rsidR="002D137E" w:rsidRPr="00474153" w:rsidRDefault="002D137E">
            <w:pPr>
              <w:numPr>
                <w:ilvl w:val="0"/>
                <w:numId w:val="16"/>
              </w:numPr>
              <w:ind w:left="574" w:rightChars="-27" w:right="-65" w:hanging="574"/>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Sub-item 1, Item 1, Subparagraph 7, Article 4 of the Model Guidelines, banks are required to establish the identity of natural persons with ultimate control, “including their name, date of birth, nationality and identity document number.”</w:t>
            </w:r>
          </w:p>
          <w:p w14:paraId="32150BD3" w14:textId="77777777" w:rsidR="007C11E6" w:rsidRPr="00474153" w:rsidRDefault="002D137E">
            <w:pPr>
              <w:numPr>
                <w:ilvl w:val="0"/>
                <w:numId w:val="16"/>
              </w:numPr>
              <w:ind w:left="574" w:rightChars="-27" w:right="-65" w:hanging="574"/>
              <w:jc w:val="both"/>
              <w:rPr>
                <w:rFonts w:ascii="Times New Roman" w:eastAsia="標楷體" w:hAnsi="Times New Roman" w:cs="Times New Roman"/>
                <w:sz w:val="28"/>
                <w:szCs w:val="28"/>
              </w:rPr>
            </w:pPr>
            <w:r w:rsidRPr="00474153">
              <w:rPr>
                <w:rFonts w:ascii="Times New Roman" w:hAnsi="Times New Roman" w:cs="Times New Roman"/>
                <w:sz w:val="28"/>
                <w:lang w:bidi="en-US"/>
              </w:rPr>
              <w:t>Sub-item 1, Item 1, Subparagraph 8, Article 4 of the Model Guidelines states that the above information can be verified using an ID card, passport or other credible documents or sources. The above information need not be presented in the original documents. Alternatively, banks may have corporate entities, NPOs and representatives thereof issue declarations about the identities of their beneficial owners; however, at least some part of this declaration must be verifiable using company registration, annual report or other credible documents or sources.</w:t>
            </w:r>
          </w:p>
        </w:tc>
        <w:tc>
          <w:tcPr>
            <w:tcW w:w="8335" w:type="dxa"/>
            <w:shd w:val="clear" w:color="auto" w:fill="auto"/>
          </w:tcPr>
          <w:p w14:paraId="6C7375D7" w14:textId="77777777" w:rsidR="007C11E6" w:rsidRPr="00474153" w:rsidRDefault="007C11E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15</w:t>
            </w:r>
            <w:r w:rsidRPr="00474153">
              <w:rPr>
                <w:rFonts w:ascii="Times New Roman" w:hAnsi="Times New Roman"/>
                <w:sz w:val="28"/>
                <w:lang w:bidi="en-US"/>
              </w:rPr>
              <w:t>: When the beneficial owner is known, what personal information of the beneficial owner should be obtained from the corporate entities or NPO?</w:t>
            </w:r>
          </w:p>
          <w:p w14:paraId="247CB14B" w14:textId="77777777" w:rsidR="007C11E6" w:rsidRPr="00474153" w:rsidRDefault="007C11E6">
            <w:pPr>
              <w:pStyle w:val="a4"/>
              <w:snapToGrid w:val="0"/>
              <w:spacing w:line="400" w:lineRule="exact"/>
              <w:ind w:leftChars="0" w:left="848" w:hangingChars="303" w:hanging="848"/>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15</w:t>
            </w:r>
            <w:r w:rsidRPr="00474153">
              <w:rPr>
                <w:rFonts w:ascii="Times New Roman" w:hAnsi="Times New Roman"/>
                <w:sz w:val="28"/>
                <w:lang w:bidi="en-US"/>
              </w:rPr>
              <w:t>:</w:t>
            </w:r>
          </w:p>
          <w:p w14:paraId="5EAA4B35" w14:textId="77777777" w:rsidR="007C11E6" w:rsidRPr="00474153" w:rsidRDefault="007C11E6">
            <w:pPr>
              <w:pStyle w:val="a4"/>
              <w:numPr>
                <w:ilvl w:val="0"/>
                <w:numId w:val="36"/>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According to Sub-item 1, Item 1, Subparagraph 7, Article 4 of the Model Guidelines, banks are required to establish the identity of natural persons with ultimate control, “including their name, date of birth, nationality and identity document number.”</w:t>
            </w:r>
          </w:p>
          <w:p w14:paraId="46141C9A" w14:textId="77777777" w:rsidR="007C11E6" w:rsidRPr="00474153" w:rsidRDefault="007C11E6">
            <w:pPr>
              <w:pStyle w:val="a4"/>
              <w:numPr>
                <w:ilvl w:val="0"/>
                <w:numId w:val="36"/>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Sub-item 1, Item 1, Subparagraph 8, Article 4 of the Model Guidelines states that the above information can be verified using an ID card, passport or other credible documents or sources. The above information need not be presented in the original documents. Alternatively, banks may have corporate entities, NPOs and representatives thereof issue declarations about the identities of their beneficial owners; however, at least some part of this declaration must be verifiable using company registration, annual report or other credible documents or sources.</w:t>
            </w:r>
          </w:p>
        </w:tc>
        <w:tc>
          <w:tcPr>
            <w:tcW w:w="4645" w:type="dxa"/>
            <w:shd w:val="clear" w:color="auto" w:fill="auto"/>
          </w:tcPr>
          <w:p w14:paraId="0C9A0C73" w14:textId="77777777" w:rsidR="007C11E6" w:rsidRPr="00474153" w:rsidRDefault="002D137E">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78802AD8" w14:textId="77777777" w:rsidTr="00E419A6">
        <w:tc>
          <w:tcPr>
            <w:tcW w:w="510" w:type="dxa"/>
            <w:shd w:val="clear" w:color="auto" w:fill="auto"/>
          </w:tcPr>
          <w:p w14:paraId="7CDD9026"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16</w:t>
            </w:r>
          </w:p>
        </w:tc>
        <w:tc>
          <w:tcPr>
            <w:tcW w:w="8335" w:type="dxa"/>
            <w:shd w:val="clear" w:color="auto" w:fill="auto"/>
          </w:tcPr>
          <w:p w14:paraId="5AF0006F" w14:textId="411A6614" w:rsidR="00647136" w:rsidRPr="00474153" w:rsidRDefault="00647136">
            <w:pPr>
              <w:ind w:left="700" w:hangingChars="250" w:hanging="700"/>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Pr="00474153">
              <w:rPr>
                <w:rFonts w:ascii="Times New Roman" w:hAnsi="Times New Roman" w:cs="Times New Roman"/>
                <w:color w:val="FF0000"/>
                <w:sz w:val="28"/>
                <w:u w:val="single"/>
                <w:lang w:bidi="en-US"/>
              </w:rPr>
              <w:t>12</w:t>
            </w:r>
            <w:r w:rsidRPr="00474153">
              <w:rPr>
                <w:rFonts w:ascii="Times New Roman" w:hAnsi="Times New Roman" w:cs="Times New Roman"/>
                <w:sz w:val="28"/>
                <w:lang w:bidi="en-US"/>
              </w:rPr>
              <w:t>: What should be done when the client cannot provide the information of the beneficial owner?</w:t>
            </w:r>
          </w:p>
          <w:p w14:paraId="444D7B44" w14:textId="2CCAF318" w:rsidR="00647136" w:rsidRPr="00474153" w:rsidRDefault="00647136">
            <w:pPr>
              <w:pStyle w:val="a4"/>
              <w:snapToGrid w:val="0"/>
              <w:spacing w:line="400" w:lineRule="exact"/>
              <w:ind w:leftChars="0" w:left="843" w:hangingChars="301" w:hanging="843"/>
              <w:jc w:val="both"/>
              <w:rPr>
                <w:rFonts w:ascii="Times New Roman" w:eastAsia="標楷體" w:hAnsi="Times New Roman"/>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12</w:t>
            </w:r>
            <w:r w:rsidRPr="00474153">
              <w:rPr>
                <w:rFonts w:ascii="Times New Roman" w:hAnsi="Times New Roman"/>
                <w:sz w:val="28"/>
                <w:lang w:bidi="en-US"/>
              </w:rPr>
              <w:t>:</w:t>
            </w:r>
          </w:p>
          <w:p w14:paraId="6B7EAA7B" w14:textId="77777777" w:rsidR="00647136" w:rsidRPr="00474153" w:rsidRDefault="00647136" w:rsidP="00A56215">
            <w:pPr>
              <w:pStyle w:val="a4"/>
              <w:numPr>
                <w:ilvl w:val="0"/>
                <w:numId w:val="88"/>
              </w:numPr>
              <w:spacing w:line="400" w:lineRule="exact"/>
              <w:ind w:leftChars="0" w:left="510" w:rightChars="-27" w:right="-65" w:hanging="510"/>
              <w:jc w:val="both"/>
              <w:rPr>
                <w:rFonts w:ascii="Times New Roman" w:eastAsia="標楷體" w:hAnsi="Times New Roman"/>
                <w:sz w:val="28"/>
                <w:szCs w:val="28"/>
              </w:rPr>
            </w:pPr>
            <w:r w:rsidRPr="00474153">
              <w:rPr>
                <w:rFonts w:ascii="Times New Roman" w:hAnsi="Times New Roman"/>
                <w:sz w:val="28"/>
                <w:lang w:bidi="en-US"/>
              </w:rPr>
              <w:t>Banks are required to identify and confirm the beneficial owners of a corporate entity, NPO or trustee when establishing a business relationship for the first time or creating new account.</w:t>
            </w:r>
          </w:p>
          <w:p w14:paraId="5BBBB610" w14:textId="00DCB3CB" w:rsidR="00647136" w:rsidRPr="00474153" w:rsidRDefault="00647136" w:rsidP="00A56215">
            <w:pPr>
              <w:pStyle w:val="a4"/>
              <w:numPr>
                <w:ilvl w:val="0"/>
                <w:numId w:val="88"/>
              </w:numPr>
              <w:spacing w:line="400" w:lineRule="exact"/>
              <w:ind w:leftChars="0" w:left="510" w:rightChars="-27" w:right="-65" w:hanging="510"/>
              <w:jc w:val="both"/>
              <w:rPr>
                <w:rFonts w:ascii="Times New Roman" w:eastAsia="標楷體" w:hAnsi="Times New Roman"/>
                <w:sz w:val="28"/>
                <w:szCs w:val="28"/>
              </w:rPr>
            </w:pPr>
            <w:r w:rsidRPr="00474153">
              <w:rPr>
                <w:rFonts w:ascii="Times New Roman" w:hAnsi="Times New Roman"/>
                <w:sz w:val="28"/>
                <w:lang w:bidi="en-US"/>
              </w:rPr>
              <w:t xml:space="preserve">Subparagraph 15, Article 4 of the Model Guidelines states that, if existing customers are unable to provide information relevant to the identification of the beneficial owner, whether as part of the bank’s regular review or in other situations deemed necessary, the bank may </w:t>
            </w:r>
            <w:r w:rsidRPr="00474153">
              <w:rPr>
                <w:rFonts w:ascii="Times New Roman" w:hAnsi="Times New Roman"/>
                <w:sz w:val="28"/>
                <w:lang w:bidi="en-US"/>
              </w:rPr>
              <w:lastRenderedPageBreak/>
              <w:t>suspend or terminate the transaction or business relationship according to the terms of the underlying contract. Banks that choose not to suspend the transaction in the situation described above shall adopt other appropriate risk mitigation measures.</w:t>
            </w:r>
          </w:p>
        </w:tc>
        <w:tc>
          <w:tcPr>
            <w:tcW w:w="8335" w:type="dxa"/>
            <w:shd w:val="clear" w:color="auto" w:fill="auto"/>
          </w:tcPr>
          <w:p w14:paraId="4B445A81" w14:textId="77777777" w:rsidR="00647136" w:rsidRPr="00474153" w:rsidRDefault="00647136">
            <w:pPr>
              <w:ind w:left="700" w:hangingChars="250" w:hanging="70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w:t>
            </w:r>
            <w:r w:rsidRPr="00474153">
              <w:rPr>
                <w:rFonts w:ascii="Times New Roman" w:hAnsi="Times New Roman" w:cs="Times New Roman"/>
                <w:color w:val="FF0000"/>
                <w:sz w:val="28"/>
                <w:u w:val="single"/>
                <w:lang w:bidi="en-US"/>
              </w:rPr>
              <w:t>16</w:t>
            </w:r>
            <w:r w:rsidRPr="00474153">
              <w:rPr>
                <w:rFonts w:ascii="Times New Roman" w:hAnsi="Times New Roman" w:cs="Times New Roman"/>
                <w:sz w:val="28"/>
                <w:lang w:bidi="en-US"/>
              </w:rPr>
              <w:t>: What should be done when the client cannot provide the information of the beneficial owner?</w:t>
            </w:r>
          </w:p>
          <w:p w14:paraId="1850E6C6" w14:textId="77777777" w:rsidR="00647136" w:rsidRPr="00474153" w:rsidRDefault="00647136">
            <w:pPr>
              <w:pStyle w:val="a4"/>
              <w:snapToGrid w:val="0"/>
              <w:spacing w:line="400" w:lineRule="exact"/>
              <w:ind w:leftChars="0" w:left="843" w:hangingChars="301" w:hanging="843"/>
              <w:jc w:val="both"/>
              <w:rPr>
                <w:rFonts w:ascii="Times New Roman" w:eastAsia="標楷體" w:hAnsi="Times New Roman"/>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16</w:t>
            </w:r>
            <w:r w:rsidRPr="00474153">
              <w:rPr>
                <w:rFonts w:ascii="Times New Roman" w:hAnsi="Times New Roman"/>
                <w:sz w:val="28"/>
                <w:lang w:bidi="en-US"/>
              </w:rPr>
              <w:t>:</w:t>
            </w:r>
          </w:p>
          <w:p w14:paraId="72B20096" w14:textId="77777777" w:rsidR="00647136" w:rsidRPr="00474153" w:rsidRDefault="00647136" w:rsidP="00A56215">
            <w:pPr>
              <w:pStyle w:val="a4"/>
              <w:numPr>
                <w:ilvl w:val="0"/>
                <w:numId w:val="117"/>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Banks are required to identify and confirm the beneficial owners of a corporate entity, NPO or trustee when establishing a business relationship for the first time or creating new account.</w:t>
            </w:r>
          </w:p>
          <w:p w14:paraId="31CD5F59" w14:textId="77777777" w:rsidR="00647136" w:rsidRPr="00474153" w:rsidRDefault="00647136" w:rsidP="00A56215">
            <w:pPr>
              <w:pStyle w:val="a4"/>
              <w:numPr>
                <w:ilvl w:val="0"/>
                <w:numId w:val="117"/>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 xml:space="preserve">Subparagraph 15, Article 4 of the Model Guidelines states that, if existing customers are unable to provide information relevant to the identification of the beneficial owner, whether as part of the bank’s regular review or in other situations deemed necessary, the bank may </w:t>
            </w:r>
            <w:r w:rsidRPr="00474153">
              <w:rPr>
                <w:rFonts w:ascii="Times New Roman" w:hAnsi="Times New Roman"/>
                <w:sz w:val="28"/>
                <w:lang w:bidi="en-US"/>
              </w:rPr>
              <w:lastRenderedPageBreak/>
              <w:t>suspend or terminate the transaction or business relationship according to the terms of the underlying contract. Banks that choose not to suspend the transaction in the situation described above shall adopt other appropriate risk mitigation measures.</w:t>
            </w:r>
          </w:p>
        </w:tc>
        <w:tc>
          <w:tcPr>
            <w:tcW w:w="4645" w:type="dxa"/>
            <w:shd w:val="clear" w:color="auto" w:fill="auto"/>
          </w:tcPr>
          <w:p w14:paraId="6E2E1247" w14:textId="725D7F47" w:rsidR="00647136" w:rsidRPr="00474153" w:rsidRDefault="00647136" w:rsidP="00A56215">
            <w:pP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06B7A9FF" w14:textId="77777777" w:rsidTr="00E419A6">
        <w:tc>
          <w:tcPr>
            <w:tcW w:w="510" w:type="dxa"/>
            <w:shd w:val="clear" w:color="auto" w:fill="auto"/>
          </w:tcPr>
          <w:p w14:paraId="67F8A6D0"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17</w:t>
            </w:r>
          </w:p>
        </w:tc>
        <w:tc>
          <w:tcPr>
            <w:tcW w:w="8335" w:type="dxa"/>
            <w:shd w:val="clear" w:color="auto" w:fill="auto"/>
          </w:tcPr>
          <w:p w14:paraId="49246DA0" w14:textId="213549FE"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13</w:t>
            </w:r>
            <w:r w:rsidRPr="00474153">
              <w:rPr>
                <w:rFonts w:ascii="Times New Roman" w:hAnsi="Times New Roman"/>
                <w:sz w:val="28"/>
                <w:lang w:bidi="en-US"/>
              </w:rPr>
              <w:t>: Do existing customers need to re-identify the actual beneficiary when opening additional accounts or adding new business relationships</w:t>
            </w:r>
          </w:p>
          <w:p w14:paraId="158E7AD4" w14:textId="07E8CA2F" w:rsidR="00647136" w:rsidRPr="00474153" w:rsidRDefault="00647136">
            <w:pPr>
              <w:pStyle w:val="a4"/>
              <w:snapToGrid w:val="0"/>
              <w:spacing w:line="400" w:lineRule="exact"/>
              <w:ind w:leftChars="0" w:left="566" w:hangingChars="202" w:hanging="566"/>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13</w:t>
            </w:r>
            <w:r w:rsidRPr="00474153">
              <w:rPr>
                <w:rFonts w:ascii="Times New Roman" w:hAnsi="Times New Roman"/>
                <w:sz w:val="28"/>
                <w:lang w:bidi="en-US"/>
              </w:rPr>
              <w:t>:</w:t>
            </w:r>
          </w:p>
          <w:p w14:paraId="160AD97B" w14:textId="77777777" w:rsidR="00647136" w:rsidRPr="00474153" w:rsidRDefault="00647136">
            <w:pPr>
              <w:pStyle w:val="a4"/>
              <w:numPr>
                <w:ilvl w:val="0"/>
                <w:numId w:val="18"/>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According to Paragraph 3, Note 6 of the Guidelines, banks are required to review the identity of its existing customers and prioritize the exercise based on the customers’ significance and risk level. Based on the adequacy of information obtained in previous reviews, banks shall review existing banking relationships and adjust customers’ risk grades at an appropriate time. The “appropriate time” mentioned above shall at least include the time when the customer opens a new account or engages in a new business relationship.</w:t>
            </w:r>
          </w:p>
          <w:p w14:paraId="3945FB95" w14:textId="77777777" w:rsidR="00647136" w:rsidRPr="00474153" w:rsidRDefault="00647136">
            <w:pPr>
              <w:pStyle w:val="a4"/>
              <w:numPr>
                <w:ilvl w:val="0"/>
                <w:numId w:val="18"/>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According to Subparagraph 3, Article 5 of the Model Guidelines, banks may identify and verify the customers’ identity based on the information retained from previous executions. There is no need to re-establish and verify the customer’s identity from scratch for every transaction. However, banks are required to re-confirm the customers’ identity according to Article 4 if they have any doubts regarding the correctness or appropriateness of the customers’ information, or if they suspect the customers’ involvement in ML/TF, or if the customers exhibit significant changes in transaction behavior or uses an account that does not conform with their business profile.</w:t>
            </w:r>
          </w:p>
          <w:p w14:paraId="4CD149F0" w14:textId="77777777" w:rsidR="00647136" w:rsidRPr="00474153" w:rsidRDefault="00647136">
            <w:pPr>
              <w:pStyle w:val="a4"/>
              <w:numPr>
                <w:ilvl w:val="0"/>
                <w:numId w:val="18"/>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If the bank has already identified and verified the customer’s beneficial owners, reviewed customer’s profile and found no information that was out-of-date, inappropriate or doubtful, the bank will not be required to obtain further information on the customer’s beneficial owners when the customer opens an additional account or establishes a new business relationship.</w:t>
            </w:r>
          </w:p>
        </w:tc>
        <w:tc>
          <w:tcPr>
            <w:tcW w:w="8335" w:type="dxa"/>
            <w:shd w:val="clear" w:color="auto" w:fill="auto"/>
          </w:tcPr>
          <w:p w14:paraId="140E489E"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17</w:t>
            </w:r>
            <w:r w:rsidRPr="00474153">
              <w:rPr>
                <w:rFonts w:ascii="Times New Roman" w:hAnsi="Times New Roman"/>
                <w:sz w:val="28"/>
                <w:lang w:bidi="en-US"/>
              </w:rPr>
              <w:t>: Does the existing customer need to re-identify the beneficial owner when the customer opens an additional account or establishes a new business relationship?</w:t>
            </w:r>
          </w:p>
          <w:p w14:paraId="0304935E" w14:textId="77777777" w:rsidR="00647136" w:rsidRPr="00474153" w:rsidRDefault="00647136">
            <w:pPr>
              <w:pStyle w:val="a4"/>
              <w:snapToGrid w:val="0"/>
              <w:spacing w:line="400" w:lineRule="exact"/>
              <w:ind w:leftChars="0" w:left="566" w:hangingChars="202" w:hanging="566"/>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17</w:t>
            </w:r>
            <w:r w:rsidRPr="00474153">
              <w:rPr>
                <w:rFonts w:ascii="Times New Roman" w:hAnsi="Times New Roman"/>
                <w:sz w:val="28"/>
                <w:lang w:bidi="en-US"/>
              </w:rPr>
              <w:t>:</w:t>
            </w:r>
          </w:p>
          <w:p w14:paraId="619638F1" w14:textId="77777777" w:rsidR="00647136" w:rsidRPr="00474153" w:rsidRDefault="00647136" w:rsidP="00A56215">
            <w:pPr>
              <w:pStyle w:val="a4"/>
              <w:numPr>
                <w:ilvl w:val="0"/>
                <w:numId w:val="89"/>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According to Paragraph 3, Note 6 of the Guidelines, banks are required to review the identity of its existing customers and prioritize the exercise based on the customers’ significance and risk level. Based on the adequacy of information obtained in previous reviews, banks shall review existing banking relationships and adjust customers’ risk grades at an appropriate time. The “appropriate time” mentioned above shall at least include the time when the customer opens a new account or engages in a new business relationship.</w:t>
            </w:r>
          </w:p>
          <w:p w14:paraId="5B134D71" w14:textId="77777777" w:rsidR="00647136" w:rsidRPr="00474153" w:rsidRDefault="00647136" w:rsidP="00A56215">
            <w:pPr>
              <w:pStyle w:val="a4"/>
              <w:numPr>
                <w:ilvl w:val="0"/>
                <w:numId w:val="89"/>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According to Subparagraph 3, Article 5 of the Model Guidelines, banks may identify and verify the customers’ identity based on the information retained from previous executions. There is no need to re-establish and verify the customer’s identity from scratch for every transaction. However, banks are required to re-confirm the customers’ identity according to Article 4 if they have any doubts regarding the correctness or appropriateness of the customers’ information, or if they suspect the customers’ involvement in ML/TF, or if the customers exhibit significant changes in transaction behavior or uses an account that does not conform with their business profile.</w:t>
            </w:r>
          </w:p>
          <w:p w14:paraId="0E8EDB5E" w14:textId="77777777" w:rsidR="00647136" w:rsidRPr="00474153" w:rsidRDefault="00647136" w:rsidP="00A56215">
            <w:pPr>
              <w:pStyle w:val="a4"/>
              <w:numPr>
                <w:ilvl w:val="0"/>
                <w:numId w:val="89"/>
              </w:numPr>
              <w:spacing w:line="400" w:lineRule="exact"/>
              <w:ind w:leftChars="0" w:left="574" w:rightChars="-27" w:right="-65" w:hanging="574"/>
              <w:jc w:val="both"/>
              <w:rPr>
                <w:rFonts w:ascii="Times New Roman" w:eastAsia="標楷體" w:hAnsi="Times New Roman"/>
                <w:sz w:val="28"/>
                <w:szCs w:val="28"/>
              </w:rPr>
            </w:pPr>
            <w:r w:rsidRPr="00474153">
              <w:rPr>
                <w:rFonts w:ascii="Times New Roman" w:hAnsi="Times New Roman"/>
                <w:sz w:val="28"/>
                <w:lang w:bidi="en-US"/>
              </w:rPr>
              <w:t>If the bank has already identified and verified the customer’s beneficial owners, reviewed customer’s profile and found no information that was out-of-date, inappropriate or doubtful, the bank will not be required to obtain further information on the customer’s beneficial owners when the customer opens an additional account or establishes a new business relationship.</w:t>
            </w:r>
          </w:p>
        </w:tc>
        <w:tc>
          <w:tcPr>
            <w:tcW w:w="4645" w:type="dxa"/>
            <w:shd w:val="clear" w:color="auto" w:fill="auto"/>
          </w:tcPr>
          <w:p w14:paraId="3BB0BFB7" w14:textId="3CDDAF2B" w:rsidR="00647136" w:rsidRPr="00474153" w:rsidRDefault="00647136" w:rsidP="00A56215">
            <w:pPr>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4497FFA5" w14:textId="77777777" w:rsidTr="00E419A6">
        <w:tc>
          <w:tcPr>
            <w:tcW w:w="510" w:type="dxa"/>
            <w:shd w:val="clear" w:color="auto" w:fill="auto"/>
          </w:tcPr>
          <w:p w14:paraId="4F015F4C"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18</w:t>
            </w:r>
          </w:p>
        </w:tc>
        <w:tc>
          <w:tcPr>
            <w:tcW w:w="8335" w:type="dxa"/>
            <w:shd w:val="clear" w:color="auto" w:fill="auto"/>
          </w:tcPr>
          <w:p w14:paraId="02B1C147" w14:textId="77777777" w:rsidR="00647136" w:rsidRPr="00474153" w:rsidRDefault="00647136">
            <w:pPr>
              <w:ind w:rightChars="-27" w:right="-65"/>
              <w:jc w:val="both"/>
              <w:rPr>
                <w:rFonts w:ascii="Times New Roman" w:eastAsia="標楷體" w:hAnsi="Times New Roman" w:cs="Times New Roman"/>
                <w:sz w:val="28"/>
                <w:szCs w:val="28"/>
              </w:rPr>
            </w:pPr>
          </w:p>
        </w:tc>
        <w:tc>
          <w:tcPr>
            <w:tcW w:w="8335" w:type="dxa"/>
            <w:shd w:val="clear" w:color="auto" w:fill="auto"/>
          </w:tcPr>
          <w:p w14:paraId="78506C06" w14:textId="77777777" w:rsidR="00647136" w:rsidRPr="00474153" w:rsidRDefault="00647136">
            <w:pPr>
              <w:ind w:left="700" w:hangingChars="250" w:hanging="700"/>
              <w:jc w:val="both"/>
              <w:rPr>
                <w:rFonts w:ascii="Times New Roman" w:eastAsia="標楷體" w:hAnsi="Times New Roman" w:cs="Times New Roman"/>
                <w:bCs/>
                <w:caps/>
                <w:color w:val="FF0000"/>
                <w:sz w:val="28"/>
                <w:szCs w:val="28"/>
              </w:rPr>
            </w:pPr>
            <w:r w:rsidRPr="00474153">
              <w:rPr>
                <w:rFonts w:ascii="Times New Roman" w:hAnsi="Times New Roman" w:cs="Times New Roman"/>
                <w:color w:val="FF0000"/>
                <w:sz w:val="28"/>
                <w:lang w:bidi="en-US"/>
              </w:rPr>
              <w:t>Q18: How to identify the beneficial owner if the customer is a charitable organization or a social organization?</w:t>
            </w:r>
          </w:p>
          <w:p w14:paraId="404D1AF7" w14:textId="77777777" w:rsidR="00647136" w:rsidRPr="00474153" w:rsidRDefault="00647136">
            <w:pPr>
              <w:pStyle w:val="a4"/>
              <w:snapToGrid w:val="0"/>
              <w:spacing w:line="400" w:lineRule="exact"/>
              <w:ind w:leftChars="0" w:left="848" w:hangingChars="303" w:hanging="848"/>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A18:</w:t>
            </w:r>
          </w:p>
          <w:p w14:paraId="69105F27" w14:textId="77777777" w:rsidR="00647136" w:rsidRPr="00474153" w:rsidRDefault="00647136">
            <w:pPr>
              <w:pStyle w:val="a4"/>
              <w:numPr>
                <w:ilvl w:val="0"/>
                <w:numId w:val="19"/>
              </w:numPr>
              <w:spacing w:line="400" w:lineRule="exact"/>
              <w:ind w:leftChars="0" w:left="574" w:rightChars="-27" w:right="-65" w:hanging="574"/>
              <w:jc w:val="both"/>
              <w:rPr>
                <w:rFonts w:ascii="Times New Roman" w:eastAsia="標楷體" w:hAnsi="Times New Roman"/>
                <w:color w:val="FF0000"/>
                <w:sz w:val="28"/>
                <w:szCs w:val="28"/>
              </w:rPr>
            </w:pPr>
            <w:r w:rsidRPr="00474153">
              <w:rPr>
                <w:rFonts w:ascii="Times New Roman" w:hAnsi="Times New Roman"/>
                <w:color w:val="FF0000"/>
                <w:sz w:val="28"/>
                <w:lang w:bidi="en-US"/>
              </w:rPr>
              <w:t>Subparagraph 7, Article 4 of the Model Guidelines states that if the customer is a corporate entity or NPO with no identifiable natural-person controller (meaning that no person has more than 25% direct/indirect shareholding interest or capital contribution in the corporate entity), banks should try to identify the natural persons who exercise control over the customer through other methods, or identify the senior manager.</w:t>
            </w:r>
          </w:p>
          <w:p w14:paraId="341F4AD0" w14:textId="77777777" w:rsidR="00647136" w:rsidRPr="00474153" w:rsidRDefault="00647136">
            <w:pPr>
              <w:pStyle w:val="a4"/>
              <w:numPr>
                <w:ilvl w:val="0"/>
                <w:numId w:val="19"/>
              </w:numPr>
              <w:spacing w:line="400" w:lineRule="exact"/>
              <w:ind w:leftChars="0" w:left="574" w:rightChars="-27" w:right="-65" w:hanging="574"/>
              <w:jc w:val="both"/>
              <w:rPr>
                <w:rFonts w:ascii="Times New Roman" w:eastAsia="標楷體" w:hAnsi="Times New Roman"/>
                <w:color w:val="FF0000"/>
                <w:sz w:val="28"/>
                <w:szCs w:val="28"/>
              </w:rPr>
            </w:pPr>
            <w:r w:rsidRPr="00474153">
              <w:rPr>
                <w:rFonts w:ascii="Times New Roman" w:hAnsi="Times New Roman"/>
                <w:color w:val="FF0000"/>
                <w:sz w:val="28"/>
                <w:lang w:bidi="en-US"/>
              </w:rPr>
              <w:t>Therefore, if the customer is a charitable organization or social organization with no identifiable shareholder or capital contributor, banks shall adopt alternative means to establish the identity of the natural persons who exercise control over the customer (</w:t>
            </w:r>
            <w:r w:rsidRPr="00474153">
              <w:rPr>
                <w:rFonts w:ascii="Times New Roman" w:hAnsi="Times New Roman"/>
                <w:i/>
                <w:color w:val="FF0000"/>
                <w:sz w:val="28"/>
                <w:lang w:bidi="en-US"/>
              </w:rPr>
              <w:t>e.g.</w:t>
            </w:r>
            <w:r w:rsidRPr="00474153">
              <w:rPr>
                <w:rFonts w:ascii="Times New Roman" w:hAnsi="Times New Roman"/>
                <w:color w:val="FF0000"/>
                <w:sz w:val="28"/>
                <w:lang w:bidi="en-US"/>
              </w:rPr>
              <w:t xml:space="preserve"> based on the authorized managers or authorized signatories outlined in the corporate entity’s Articles of Incorporation or related documents) or the identity of the senior manager.</w:t>
            </w:r>
          </w:p>
        </w:tc>
        <w:tc>
          <w:tcPr>
            <w:tcW w:w="4645" w:type="dxa"/>
            <w:shd w:val="clear" w:color="auto" w:fill="auto"/>
          </w:tcPr>
          <w:p w14:paraId="2F85D9C4" w14:textId="77777777" w:rsidR="00647136" w:rsidRPr="00474153" w:rsidRDefault="00647136" w:rsidP="00A56215">
            <w:pPr>
              <w:pStyle w:val="a4"/>
              <w:numPr>
                <w:ilvl w:val="0"/>
                <w:numId w:val="118"/>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This question is deleted.</w:t>
            </w:r>
          </w:p>
          <w:p w14:paraId="3D0003A1" w14:textId="77777777" w:rsidR="00647136" w:rsidRPr="00474153" w:rsidRDefault="00647136" w:rsidP="00A56215">
            <w:pPr>
              <w:pStyle w:val="a4"/>
              <w:numPr>
                <w:ilvl w:val="0"/>
                <w:numId w:val="118"/>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Since the non-profit organization is described in Note 5 of the annex of the “Practice for reference in defining beneficial owner,” this question is deleted.</w:t>
            </w:r>
          </w:p>
        </w:tc>
      </w:tr>
      <w:tr w:rsidR="00647136" w:rsidRPr="00474153" w14:paraId="09FF14D8" w14:textId="77777777" w:rsidTr="00B11706">
        <w:tc>
          <w:tcPr>
            <w:tcW w:w="510" w:type="dxa"/>
            <w:tcBorders>
              <w:bottom w:val="single" w:sz="4" w:space="0" w:color="auto"/>
            </w:tcBorders>
            <w:shd w:val="clear" w:color="auto" w:fill="auto"/>
          </w:tcPr>
          <w:p w14:paraId="163733B6"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19</w:t>
            </w:r>
          </w:p>
        </w:tc>
        <w:tc>
          <w:tcPr>
            <w:tcW w:w="8335" w:type="dxa"/>
            <w:shd w:val="clear" w:color="auto" w:fill="auto"/>
          </w:tcPr>
          <w:p w14:paraId="5EC78DA1" w14:textId="1F95C6A3" w:rsidR="00647136" w:rsidRPr="00474153" w:rsidRDefault="00647136">
            <w:pPr>
              <w:pStyle w:val="a4"/>
              <w:snapToGrid w:val="0"/>
              <w:spacing w:line="400" w:lineRule="exact"/>
              <w:ind w:leftChars="5" w:left="620" w:hangingChars="217" w:hanging="608"/>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14</w:t>
            </w:r>
            <w:r w:rsidRPr="00474153">
              <w:rPr>
                <w:rFonts w:ascii="Times New Roman" w:hAnsi="Times New Roman"/>
                <w:sz w:val="28"/>
                <w:lang w:bidi="en-US"/>
              </w:rPr>
              <w:t>: According to Subparagraph 2, Article 4 of the Model Guidelines, if the corporate customer is found with suspicious money laundering or terrorism financing transaction conducted (for example, an inward remittance for more than a certain amount from a country or region with a high risk of money laundering or terrorism financing risk), is it necessary to take reasonable measures to identify and confirm the beneficial owner of the customer?</w:t>
            </w:r>
          </w:p>
          <w:p w14:paraId="28914264" w14:textId="4FF20FAA" w:rsidR="00647136" w:rsidRPr="00474153" w:rsidRDefault="00647136">
            <w:pPr>
              <w:ind w:left="714" w:hangingChars="255" w:hanging="714"/>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14</w:t>
            </w:r>
            <w:r w:rsidRPr="00474153">
              <w:rPr>
                <w:rFonts w:ascii="Times New Roman" w:hAnsi="Times New Roman" w:cs="Times New Roman"/>
                <w:sz w:val="28"/>
                <w:lang w:bidi="en-US"/>
              </w:rPr>
              <w:t>:</w:t>
            </w:r>
          </w:p>
          <w:p w14:paraId="67ACB531"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According to Subparagraph 8, </w:t>
            </w:r>
            <w:r w:rsidRPr="00474153">
              <w:rPr>
                <w:rFonts w:ascii="Times New Roman" w:hAnsi="Times New Roman" w:cs="Times New Roman"/>
                <w:color w:val="FF0000"/>
                <w:sz w:val="28"/>
                <w:u w:val="single"/>
                <w:lang w:bidi="en-US"/>
              </w:rPr>
              <w:t>Paragraph 1</w:t>
            </w:r>
            <w:r w:rsidRPr="00474153">
              <w:rPr>
                <w:rFonts w:ascii="Times New Roman" w:hAnsi="Times New Roman" w:cs="Times New Roman"/>
                <w:sz w:val="28"/>
                <w:lang w:bidi="en-US"/>
              </w:rPr>
              <w:t xml:space="preserve">, Article 9 of the Model Guidelines, banks shall determine the rationality of the alerted transactions that they have identified based on the profiles of the individual customers (examples of rationality assessment: whether or not the transaction presents an apparent mismatch with the customer’s identity, income, the scope of business, business activities or commercial model; whether or not the transaction lacks economic sense, reasonable explanation, purpose, or undetermined or unexplained source of capital). </w:t>
            </w:r>
            <w:r w:rsidRPr="00474153">
              <w:rPr>
                <w:rFonts w:ascii="Times New Roman" w:hAnsi="Times New Roman" w:cs="Times New Roman"/>
                <w:sz w:val="28"/>
                <w:lang w:bidi="en-US"/>
              </w:rPr>
              <w:lastRenderedPageBreak/>
              <w:t>Banks shall follow the latter part of Subparagraph 3, Article 5 of the Model Guidelines, if they suspect the customers of their involvement in ML/TF transactions. Furthermore, banks are required to re-establish customer’s identity in accordance with Article 4 if they have doubts about the truthfulness or appropriateness of the customer’s profile, or if they discover the customer’s involvement in suspicious ML/TF transactions, or when a customer exhibits a significant change in transaction or account activities that do not conform to the customer’s business characteristics.</w:t>
            </w:r>
          </w:p>
        </w:tc>
        <w:tc>
          <w:tcPr>
            <w:tcW w:w="8335" w:type="dxa"/>
            <w:shd w:val="clear" w:color="auto" w:fill="auto"/>
          </w:tcPr>
          <w:p w14:paraId="67B001D9" w14:textId="77777777" w:rsidR="00647136" w:rsidRPr="00474153" w:rsidRDefault="00647136">
            <w:pPr>
              <w:pStyle w:val="a4"/>
              <w:snapToGrid w:val="0"/>
              <w:spacing w:line="400" w:lineRule="exact"/>
              <w:ind w:leftChars="5" w:left="620" w:hangingChars="217" w:hanging="608"/>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19</w:t>
            </w:r>
            <w:r w:rsidRPr="00474153">
              <w:rPr>
                <w:rFonts w:ascii="Times New Roman" w:hAnsi="Times New Roman"/>
                <w:sz w:val="28"/>
                <w:lang w:bidi="en-US"/>
              </w:rPr>
              <w:t>: According to Subparagraph 2, Article 4 of the Model Guidelines, if the corporate customer is found with suspicious money laundering or terrorism financing transaction conducted (for example, an inward remittance for more than a certain amount from a country or region with a high risk of money laundering or terrorism financing risk), is it necessary to take reasonable measures to identify and confirm the beneficial owner of the customer?</w:t>
            </w:r>
          </w:p>
          <w:p w14:paraId="6643D4FF" w14:textId="77777777" w:rsidR="00647136" w:rsidRPr="00474153" w:rsidRDefault="00647136">
            <w:pPr>
              <w:ind w:left="714" w:hangingChars="255" w:hanging="714"/>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19</w:t>
            </w:r>
            <w:r w:rsidRPr="00474153">
              <w:rPr>
                <w:rFonts w:ascii="Times New Roman" w:hAnsi="Times New Roman" w:cs="Times New Roman"/>
                <w:sz w:val="28"/>
                <w:lang w:bidi="en-US"/>
              </w:rPr>
              <w:t xml:space="preserve">: </w:t>
            </w:r>
          </w:p>
          <w:p w14:paraId="534F1B71"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According to Subparagraph 8, Article 9 of the Model Guidelines, banks shall determine the rationality of the alerted transactions that they have identified based on the profiles of the individual customers (examples of rationality assessment: whether or not the transaction presents an apparent mismatch with the customer’s identity, income, scope of business, business activities or commercial model; whether the transaction lacks economic sense, reasonable explanation, purpose, or undetermined or unexplained source of capital). Banks shall follow the </w:t>
            </w:r>
            <w:r w:rsidRPr="00474153">
              <w:rPr>
                <w:rFonts w:ascii="Times New Roman" w:hAnsi="Times New Roman" w:cs="Times New Roman"/>
                <w:sz w:val="28"/>
                <w:lang w:bidi="en-US"/>
              </w:rPr>
              <w:lastRenderedPageBreak/>
              <w:t>latter part of Subparagraph 3, Article 5 of the Model Guidelines if they suspect the customers of involvement in ML/TF transactions. Furthermore, banks are required to re-establish customer’s identity in accordance with Article 4 if they have doubts about the truthfulness or appropriateness of the customer’s profile, or if they discover the customer’s involvement in suspicious ML/TF transactions, or when a customer exhibits a significant change in transaction or account activities that does not conform with the customer’s business characteristics.</w:t>
            </w:r>
          </w:p>
        </w:tc>
        <w:tc>
          <w:tcPr>
            <w:tcW w:w="4645" w:type="dxa"/>
            <w:shd w:val="clear" w:color="auto" w:fill="auto"/>
          </w:tcPr>
          <w:p w14:paraId="1CDCB1F8" w14:textId="77777777" w:rsidR="00647136" w:rsidRPr="00474153" w:rsidRDefault="00647136" w:rsidP="00A56215">
            <w:pPr>
              <w:pStyle w:val="a4"/>
              <w:numPr>
                <w:ilvl w:val="0"/>
                <w:numId w:val="119"/>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59A42A7E" w14:textId="77777777" w:rsidR="00647136" w:rsidRPr="00474153" w:rsidRDefault="00647136" w:rsidP="00A56215">
            <w:pPr>
              <w:pStyle w:val="a4"/>
              <w:numPr>
                <w:ilvl w:val="0"/>
                <w:numId w:val="119"/>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 xml:space="preserve">According to Item 5, Subparagraph 9, Note 2 of the “Principles for the Format of Regulations and Administrative Rules,” it is necessary to have the order of paragraph amended in accordance with “The provisions that are not divided into paragraphs but only subparagraphs, when referring to a subparagraph, it is not necessary to prefix the order of paragraph; if the provisions are divided into paragraphs and subparagraphs, or, paragraphs, subparagraphs, and </w:t>
            </w:r>
            <w:r w:rsidRPr="00474153">
              <w:rPr>
                <w:rFonts w:ascii="Times New Roman" w:hAnsi="Times New Roman"/>
                <w:sz w:val="28"/>
                <w:lang w:bidi="en-US"/>
              </w:rPr>
              <w:lastRenderedPageBreak/>
              <w:t>items, it is necessary to cite the order of paragraph, sub-paragraph, and item in that manner.</w:t>
            </w:r>
          </w:p>
        </w:tc>
      </w:tr>
      <w:tr w:rsidR="00647136" w:rsidRPr="00474153" w14:paraId="1D23C5BF" w14:textId="77777777" w:rsidTr="00E419A6">
        <w:tc>
          <w:tcPr>
            <w:tcW w:w="510" w:type="dxa"/>
            <w:shd w:val="clear" w:color="auto" w:fill="auto"/>
          </w:tcPr>
          <w:p w14:paraId="19CF599E"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20</w:t>
            </w:r>
          </w:p>
        </w:tc>
        <w:tc>
          <w:tcPr>
            <w:tcW w:w="8335" w:type="dxa"/>
            <w:shd w:val="clear" w:color="auto" w:fill="auto"/>
          </w:tcPr>
          <w:p w14:paraId="42ADD040" w14:textId="144FCC4B" w:rsidR="00647136" w:rsidRPr="00474153" w:rsidRDefault="00647136">
            <w:pPr>
              <w:pStyle w:val="a4"/>
              <w:snapToGrid w:val="0"/>
              <w:spacing w:line="400" w:lineRule="exact"/>
              <w:ind w:leftChars="6" w:left="714" w:hangingChars="250" w:hanging="70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15</w:t>
            </w:r>
            <w:r w:rsidRPr="00474153">
              <w:rPr>
                <w:rFonts w:ascii="Times New Roman" w:hAnsi="Times New Roman"/>
                <w:sz w:val="28"/>
                <w:lang w:bidi="en-US"/>
              </w:rPr>
              <w:t>: If the customer is a trustee of a trust, should the trustor, trustee, trust supervisor, trust beneficiary, etc., be identified and verified same as the beneficial owner of a corporate entity rather than as the “customer” (that is, only the identification information is provided, rather than a mandatory requirement to provide an ID card)? If the trustee, trustor, trust supervisor, etc. is also a corporate entity, is there a need to identify their beneficial owners?</w:t>
            </w:r>
          </w:p>
          <w:p w14:paraId="211AF687" w14:textId="545D236D"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15</w:t>
            </w:r>
            <w:r w:rsidRPr="00474153">
              <w:rPr>
                <w:rFonts w:ascii="Times New Roman" w:hAnsi="Times New Roman" w:cs="Times New Roman"/>
                <w:sz w:val="28"/>
                <w:lang w:bidi="en-US"/>
              </w:rPr>
              <w:t>:</w:t>
            </w:r>
          </w:p>
          <w:p w14:paraId="22705344" w14:textId="77777777" w:rsidR="00647136" w:rsidRPr="00474153" w:rsidRDefault="00647136" w:rsidP="00A56215">
            <w:pPr>
              <w:pStyle w:val="a4"/>
              <w:numPr>
                <w:ilvl w:val="0"/>
                <w:numId w:val="20"/>
              </w:numPr>
              <w:spacing w:line="400" w:lineRule="exact"/>
              <w:ind w:leftChars="0" w:left="652" w:rightChars="-27" w:right="-65" w:hanging="652"/>
              <w:jc w:val="both"/>
              <w:rPr>
                <w:rFonts w:ascii="Times New Roman" w:eastAsia="標楷體" w:hAnsi="Times New Roman"/>
                <w:sz w:val="28"/>
                <w:szCs w:val="28"/>
              </w:rPr>
            </w:pPr>
            <w:r w:rsidRPr="00474153">
              <w:rPr>
                <w:rFonts w:ascii="Times New Roman" w:hAnsi="Times New Roman"/>
                <w:sz w:val="28"/>
                <w:lang w:bidi="en-US"/>
              </w:rPr>
              <w:t xml:space="preserve">According to Subparagraph 7, Article 4 of the Model Guidelines, “When the customer is a trustee of a corporate entity, NPO, or trust, banks should understand the ownership and control structure of the customer or trust, and should identify the beneficial owner of the customer through the following information and adopt reasonable validation measures. Item 2 of the same Sub-paragraph also states that, “Where the customer is the trustee of a trust arrangement: banks are required to identify the trustor, the trustee, the trust supervisor, the trust beneficiary and any other persons who exercise effective control over the trust account or parties of equivalent or similar status to those mentioned above.” In other words, if the customer is the trustee of a trust arrangement, the trustor, trustee, trust supervisor, trust beneficiary, any other persons who exercise effective control over the trust account, and parties of equivalent or similar status to those mentioned above would be considered as the beneficial owners of the customer. As for suitable methods for verifying the identity of the customer, the agent and beneficial </w:t>
            </w:r>
            <w:r w:rsidRPr="00474153">
              <w:rPr>
                <w:rFonts w:ascii="Times New Roman" w:hAnsi="Times New Roman"/>
                <w:sz w:val="28"/>
                <w:lang w:bidi="en-US"/>
              </w:rPr>
              <w:lastRenderedPageBreak/>
              <w:t>owners, Sub-item 1, Item 1, Subparagraph 8, Article 4 of the Model Guidelines states that, “Verifying identity or date of birth: Obtain official, unexpired photo identity document, such as ID card, passport, residency permit, driving license, etc. If there is any doubt as to the validity of the aforementioned documents, the certification or declaration of the embassy or notary shall be obtained. In addition, the above information of the beneficial owner need not be presented in the original documents. Alternatively, banks may have corporate entities, NPOs and representatives thereof issue declarations about the identities of their beneficial owners; however, at least some part of this declaration must be verifiable using company registration, annual report or other credible documents or sources.” For this reason, banks are free to decide whether or not to obtain the original copy or photocopy of the beneficial owner’s ID card depending on the actual circumstances.</w:t>
            </w:r>
          </w:p>
          <w:p w14:paraId="4A371059" w14:textId="77777777" w:rsidR="00647136" w:rsidRPr="00474153" w:rsidRDefault="00647136" w:rsidP="00A56215">
            <w:pPr>
              <w:pStyle w:val="a4"/>
              <w:numPr>
                <w:ilvl w:val="0"/>
                <w:numId w:val="20"/>
              </w:numPr>
              <w:spacing w:line="400" w:lineRule="exact"/>
              <w:ind w:leftChars="0" w:left="652" w:rightChars="-27" w:right="-65" w:hanging="652"/>
              <w:jc w:val="both"/>
              <w:rPr>
                <w:rFonts w:ascii="Times New Roman" w:eastAsia="標楷體" w:hAnsi="Times New Roman"/>
                <w:sz w:val="28"/>
                <w:szCs w:val="28"/>
              </w:rPr>
            </w:pPr>
            <w:r w:rsidRPr="00474153">
              <w:rPr>
                <w:rFonts w:ascii="Times New Roman" w:hAnsi="Times New Roman"/>
                <w:sz w:val="28"/>
                <w:lang w:bidi="en-US"/>
              </w:rPr>
              <w:t>A trust arrangement is defined as “an agreement to manage or dispose of entrusted properties, in which the trustor transfers or disposes property rights in such a way that enables the trustee to manage them for the benefit of the beneficiaries or for other specific purposes...,” whereas the beneficiary of a trust arrangement is defined as “a party that benefits from the establishment of the trust.” Essentially, the trustor is the party that contributes the property, whereas the beneficiary is the party that benefits from the property. If the trustor and the beneficiary are both corporate entities, the beneficial owners of both parties need to be identified. As for the trustee, trust supervisor and other parties that exercise effective control over the trust account, their duties are limited only to handling the trust affairs, managing the entrusted property and protecting the beneficiaries’ interests, therefore if any of the above parties is a corporate entity, the banks shall identify the persons who are authorized to represent the respective corporate entity in performing duties over the trust arrangement.</w:t>
            </w:r>
          </w:p>
        </w:tc>
        <w:tc>
          <w:tcPr>
            <w:tcW w:w="8335" w:type="dxa"/>
            <w:shd w:val="clear" w:color="auto" w:fill="auto"/>
          </w:tcPr>
          <w:p w14:paraId="3D7B0C76" w14:textId="77777777" w:rsidR="00647136" w:rsidRPr="00474153" w:rsidRDefault="00647136">
            <w:pPr>
              <w:pStyle w:val="a4"/>
              <w:snapToGrid w:val="0"/>
              <w:spacing w:line="400" w:lineRule="exact"/>
              <w:ind w:leftChars="6" w:left="714" w:hangingChars="250" w:hanging="700"/>
              <w:jc w:val="both"/>
              <w:rPr>
                <w:rFonts w:ascii="Times New Roman" w:eastAsia="標楷體" w:hAnsi="Times New Roman"/>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20</w:t>
            </w:r>
            <w:r w:rsidRPr="00474153">
              <w:rPr>
                <w:rFonts w:ascii="Times New Roman" w:hAnsi="Times New Roman"/>
                <w:sz w:val="28"/>
                <w:lang w:bidi="en-US"/>
              </w:rPr>
              <w:t>: If the customer is a trustee of a trust, should the trustor, trustee, trust supervisor, trust beneficiary, etc., be identified and verified same as the beneficial owner of a corporate entity rather than as the “customer” (that is, only the identification information is provided, rather than a mandatory requirement to provide an ID card)? If the trustee, trustor, trust supervisor, etc. is also a corporate entity, is there a need to identify their beneficial owners?</w:t>
            </w:r>
          </w:p>
          <w:p w14:paraId="3499D473"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20</w:t>
            </w:r>
            <w:r w:rsidRPr="00474153">
              <w:rPr>
                <w:rFonts w:ascii="Times New Roman" w:hAnsi="Times New Roman" w:cs="Times New Roman"/>
                <w:sz w:val="28"/>
                <w:lang w:bidi="en-US"/>
              </w:rPr>
              <w:t xml:space="preserve">: </w:t>
            </w:r>
          </w:p>
          <w:p w14:paraId="0C78017E" w14:textId="77777777" w:rsidR="00647136" w:rsidRPr="00474153" w:rsidRDefault="00647136">
            <w:pPr>
              <w:pStyle w:val="a4"/>
              <w:numPr>
                <w:ilvl w:val="0"/>
                <w:numId w:val="42"/>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 xml:space="preserve">According to Subparagraph 7, </w:t>
            </w:r>
            <w:r w:rsidRPr="00474153">
              <w:rPr>
                <w:rFonts w:ascii="Times New Roman" w:hAnsi="Times New Roman"/>
                <w:color w:val="FF0000"/>
                <w:sz w:val="28"/>
                <w:u w:val="single"/>
                <w:lang w:bidi="en-US"/>
              </w:rPr>
              <w:t>Paragraph 1</w:t>
            </w:r>
            <w:r w:rsidRPr="00474153">
              <w:rPr>
                <w:rFonts w:ascii="Times New Roman" w:hAnsi="Times New Roman"/>
                <w:sz w:val="28"/>
                <w:lang w:bidi="en-US"/>
              </w:rPr>
              <w:t xml:space="preserve">, Article 4 of the Model Guidelines, “When the customer is a trustee of a corporate entity, NPO, or trust, banks should understand the ownership and control structure of the customer or trust, and should identify the beneficial owner of the customer through the following information and adopt reasonable validation measures. Item 2 of the same Sub-paragraph also states that, “Where the customer is the trustee of a trust arrangement: banks are required to identify the trustor, the trustee, the trust supervisor, the trust beneficiary and any other persons who exercise effective control over the trust account or parties of equivalent or similar status to those mentioned above.” In other words, if the customer is the trustee of a trust arrangement, the trustor, trustee, trust supervisor, trust beneficiary, any other persons who exercise effective control over the trust account, and parties of equivalent or similar status to those mentioned above would be considered as the beneficial owners of the customer. As for suitable methods for verifying the identity of the customer, the agent and </w:t>
            </w:r>
            <w:r w:rsidRPr="00474153">
              <w:rPr>
                <w:rFonts w:ascii="Times New Roman" w:hAnsi="Times New Roman"/>
                <w:sz w:val="28"/>
                <w:lang w:bidi="en-US"/>
              </w:rPr>
              <w:lastRenderedPageBreak/>
              <w:t>beneficial owners, Sub-item 1, Item 1, Subparagraph 8, Article 4 of the Model Guidelines states that, “Verifying identity or date of birth: Obtain official, unexpired photo identity document, such as ID card, passport, residency permit, driving license, etc. If there is any doubt as to the validity of the aforementioned documents, the certification or declaration of the embassy or notary shall be obtained. In addition, the above information of the beneficial owner need not be presented in the original documents. Alternatively, banks may have corporate entities, NPOs and representatives thereof issue declarations about the identities of their beneficial owners; however, at least some part of this declaration must be verifiable using company registration, annual report or other credible documents or sources.” For this reason, banks are free to decide whether or not to obtain the original copy or photocopy of the beneficial owner’s ID card depending on the actual circumstances.</w:t>
            </w:r>
          </w:p>
          <w:p w14:paraId="72DDFDB6" w14:textId="77777777" w:rsidR="00647136" w:rsidRPr="00474153" w:rsidRDefault="00647136" w:rsidP="00A56215">
            <w:pPr>
              <w:pStyle w:val="a4"/>
              <w:numPr>
                <w:ilvl w:val="0"/>
                <w:numId w:val="42"/>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A trust arrangement is defined as “an agreement to manage or dispose of entrusted properties, in which the trustor transfers or disposes property rights in such a way that enables the trustee to manage them for the benefit of the beneficiaries or for other specific purposes...,” whereas the beneficiary of a trust arrangement is defined as “a party that benefits from the establishment of the trust.” Essentially, the trustor is the party that contributes the property, whereas the beneficiary is the party that benefits from the property. If the trustor and the beneficiary are both corporate entities, the beneficial owners of both parties need to be identified. As for the trustee, trust supervisor and other parties that exercise effective control over the trust account, their duties are limited only to handling the trust affairs, managing the entrusted property and protecting the beneficiaries’ interests, therefore if any of the above parties is a corporate entity, the banks shall identify the persons who are authorized to represent the respective corporate entity in performing duties over the trust arrangement.</w:t>
            </w:r>
          </w:p>
        </w:tc>
        <w:tc>
          <w:tcPr>
            <w:tcW w:w="4645" w:type="dxa"/>
            <w:shd w:val="clear" w:color="auto" w:fill="auto"/>
          </w:tcPr>
          <w:p w14:paraId="495B1F22" w14:textId="77777777" w:rsidR="00647136" w:rsidRPr="00474153" w:rsidRDefault="00647136" w:rsidP="00A56215">
            <w:pPr>
              <w:pStyle w:val="a4"/>
              <w:numPr>
                <w:ilvl w:val="0"/>
                <w:numId w:val="120"/>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47C64A78" w14:textId="65A673FF" w:rsidR="00647136" w:rsidRPr="00474153" w:rsidRDefault="00647136" w:rsidP="00A56215">
            <w:pPr>
              <w:pStyle w:val="a4"/>
              <w:numPr>
                <w:ilvl w:val="0"/>
                <w:numId w:val="120"/>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Amend the order of item by referring to the contents Note 2 of Q14.</w:t>
            </w:r>
          </w:p>
        </w:tc>
      </w:tr>
      <w:tr w:rsidR="00647136" w:rsidRPr="00474153" w14:paraId="572D8AB7" w14:textId="77777777" w:rsidTr="00E419A6">
        <w:tc>
          <w:tcPr>
            <w:tcW w:w="510" w:type="dxa"/>
            <w:shd w:val="clear" w:color="auto" w:fill="auto"/>
          </w:tcPr>
          <w:p w14:paraId="0065F64D"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21</w:t>
            </w:r>
          </w:p>
        </w:tc>
        <w:tc>
          <w:tcPr>
            <w:tcW w:w="8335" w:type="dxa"/>
            <w:shd w:val="clear" w:color="auto" w:fill="auto"/>
          </w:tcPr>
          <w:p w14:paraId="62A68724" w14:textId="3DBCF0A7"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16</w:t>
            </w:r>
            <w:r w:rsidRPr="00474153">
              <w:rPr>
                <w:rFonts w:ascii="Times New Roman" w:hAnsi="Times New Roman"/>
                <w:sz w:val="28"/>
                <w:lang w:bidi="en-US"/>
              </w:rPr>
              <w:t>: Subparagraph 5, Article 3 of the “Regulations Governing Anti-</w:t>
            </w:r>
            <w:r w:rsidRPr="00474153">
              <w:rPr>
                <w:rFonts w:ascii="Times New Roman" w:hAnsi="Times New Roman"/>
                <w:sz w:val="28"/>
                <w:lang w:bidi="en-US"/>
              </w:rPr>
              <w:lastRenderedPageBreak/>
              <w:t>Money Laundering of Financial Institutions” stated that the name of the “senior managers” must be obtained, while Subparagraph 6, Article 4 of the Model Guidelines requires banks to obtain the name, date of birth, and nationality of customers. However, if the senior manager’s date of birth cannot be found in public records such as the directors/supervisors/managers section of the company registration/change of registration or the public company annual report. Isn’t this requirement somewhat difficult to fulfill in practice?</w:t>
            </w:r>
          </w:p>
          <w:p w14:paraId="299B5F80" w14:textId="1469098B"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16</w:t>
            </w:r>
            <w:r w:rsidRPr="00474153">
              <w:rPr>
                <w:rFonts w:ascii="Times New Roman" w:hAnsi="Times New Roman" w:cs="Times New Roman"/>
                <w:sz w:val="28"/>
                <w:lang w:bidi="en-US"/>
              </w:rPr>
              <w:t>:</w:t>
            </w:r>
          </w:p>
          <w:p w14:paraId="48AB772F"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Article 10 of Regulations Governing Anti-Money Laundering of Financial Institutions requires banks to determine whether or not the senior manager of a company is a politically exposed person (PEP). The senior manager’s name alone is not adequate for banks to determine whether or not the party is a PEP, therefore, the date of birth and nationality are mandatory information to facilitate the check.</w:t>
            </w:r>
          </w:p>
        </w:tc>
        <w:tc>
          <w:tcPr>
            <w:tcW w:w="8335" w:type="dxa"/>
            <w:shd w:val="clear" w:color="auto" w:fill="auto"/>
          </w:tcPr>
          <w:p w14:paraId="75081D10"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21</w:t>
            </w:r>
            <w:r w:rsidRPr="00474153">
              <w:rPr>
                <w:rFonts w:ascii="Times New Roman" w:hAnsi="Times New Roman"/>
                <w:sz w:val="28"/>
                <w:lang w:bidi="en-US"/>
              </w:rPr>
              <w:t>: Subparagraph 5, Article 3 of the “Regulations Governing Anti-</w:t>
            </w:r>
            <w:r w:rsidRPr="00474153">
              <w:rPr>
                <w:rFonts w:ascii="Times New Roman" w:hAnsi="Times New Roman"/>
                <w:sz w:val="28"/>
                <w:lang w:bidi="en-US"/>
              </w:rPr>
              <w:lastRenderedPageBreak/>
              <w:t>Money Laundering of Financial Institutions” stated that the name of the “senior managers” must be obtained, while Subparagraph 6, Article 4 of the Model Guidelines requires banks to obtain the name, date of birth, and nationality of customers. However, if the senior manager’s date of birth cannot be found in public records such as the directors/supervisors/managers section of the company registration/change of registration or the public company annual report. Isn’t this requirement somewhat difficult to fulfill in practice?</w:t>
            </w:r>
          </w:p>
          <w:p w14:paraId="534FEA98" w14:textId="77777777"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21</w:t>
            </w:r>
            <w:r w:rsidRPr="00474153">
              <w:rPr>
                <w:rFonts w:ascii="Times New Roman" w:hAnsi="Times New Roman" w:cs="Times New Roman"/>
                <w:sz w:val="28"/>
                <w:lang w:bidi="en-US"/>
              </w:rPr>
              <w:t>:</w:t>
            </w:r>
          </w:p>
          <w:p w14:paraId="3BE7A5C1"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Article 10 of Regulations Governing Anti-Money Laundering of Financial Institutions requires banks to determine whether or not the senior manager of a company is a politically exposed person (PEP). The senior manager’s name alone is not adequate for banks to determine whether or not the party is a PEP, therefore, the date of birth and nationality are mandatory information to facilitate the check.</w:t>
            </w:r>
          </w:p>
        </w:tc>
        <w:tc>
          <w:tcPr>
            <w:tcW w:w="4645" w:type="dxa"/>
            <w:shd w:val="clear" w:color="auto" w:fill="auto"/>
          </w:tcPr>
          <w:p w14:paraId="40CEC377"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594186C1" w14:textId="77777777" w:rsidTr="00E419A6">
        <w:tc>
          <w:tcPr>
            <w:tcW w:w="510" w:type="dxa"/>
            <w:shd w:val="clear" w:color="auto" w:fill="auto"/>
          </w:tcPr>
          <w:p w14:paraId="092F6A32" w14:textId="77777777" w:rsidR="00647136" w:rsidRPr="00474153" w:rsidRDefault="00647136">
            <w:pPr>
              <w:rPr>
                <w:rFonts w:ascii="Times New Roman" w:eastAsia="標楷體" w:hAnsi="Times New Roman" w:cs="Times New Roman"/>
                <w:sz w:val="28"/>
                <w:szCs w:val="28"/>
              </w:rPr>
            </w:pPr>
            <w:r w:rsidRPr="00474153">
              <w:rPr>
                <w:rFonts w:ascii="Times New Roman" w:hAnsi="Times New Roman" w:cs="Times New Roman"/>
                <w:sz w:val="28"/>
                <w:lang w:bidi="en-US"/>
              </w:rPr>
              <w:t>22</w:t>
            </w:r>
          </w:p>
        </w:tc>
        <w:tc>
          <w:tcPr>
            <w:tcW w:w="8335" w:type="dxa"/>
            <w:shd w:val="clear" w:color="auto" w:fill="auto"/>
          </w:tcPr>
          <w:p w14:paraId="7B09C039" w14:textId="1C9FC8EE"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17</w:t>
            </w:r>
            <w:r w:rsidRPr="00474153">
              <w:rPr>
                <w:rFonts w:ascii="Times New Roman" w:hAnsi="Times New Roman"/>
                <w:sz w:val="28"/>
                <w:lang w:bidi="en-US"/>
              </w:rPr>
              <w:t>: Subparagraph 6, Article 4 of the Model Guidelines states that “the scope of senior managers may include board directors, supervisors, directors, general manager, chief financial officer, representatives, managers, partners, authorized signatories, or natural persons equivalent to the aforementioned senior managers; the bank shall adopt a risk-based approach to determine the scope of senior managers subject to review.” In practice, how should banks adopt a risk-based approach to determine the scope of senior managers subject to review?</w:t>
            </w:r>
          </w:p>
          <w:p w14:paraId="40205686" w14:textId="38EC051D"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17</w:t>
            </w:r>
            <w:r w:rsidRPr="00474153">
              <w:rPr>
                <w:rFonts w:ascii="Times New Roman" w:hAnsi="Times New Roman" w:cs="Times New Roman"/>
                <w:sz w:val="28"/>
                <w:lang w:bidi="en-US"/>
              </w:rPr>
              <w:t>:</w:t>
            </w:r>
          </w:p>
          <w:p w14:paraId="33A42A6C"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To enable a better understanding of the customer’s controllers and beneficial owners, banks may decide whether or not to investigate the backgrounds of a broader number of senior managers based on the customer’s risk profile, which can be determined using a variety of factors such as customer’s risk grade, industry characteristics, place of registration and place of operations. In other words, banks should first conduct a risk analysis based on its own understanding of the banking </w:t>
            </w:r>
            <w:r w:rsidRPr="00474153">
              <w:rPr>
                <w:rFonts w:ascii="Times New Roman" w:hAnsi="Times New Roman" w:cs="Times New Roman"/>
                <w:sz w:val="28"/>
                <w:lang w:bidi="en-US"/>
              </w:rPr>
              <w:lastRenderedPageBreak/>
              <w:t>relationship and the customer before deciding on the scope of the customer’s senior managers to investigate whether or not they would conform with the bank’s internal risk management system.</w:t>
            </w:r>
          </w:p>
        </w:tc>
        <w:tc>
          <w:tcPr>
            <w:tcW w:w="8335" w:type="dxa"/>
            <w:shd w:val="clear" w:color="auto" w:fill="auto"/>
          </w:tcPr>
          <w:p w14:paraId="3BFC3F9C"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22</w:t>
            </w:r>
            <w:r w:rsidRPr="00474153">
              <w:rPr>
                <w:rFonts w:ascii="Times New Roman" w:hAnsi="Times New Roman"/>
                <w:sz w:val="28"/>
                <w:lang w:bidi="en-US"/>
              </w:rPr>
              <w:t>: Subparagraph 6, Article 4 of the Model Guidelines states that “the scope of senior managers may include board directors, supervisors, directors, general manager, chief financial officer, representatives, managers, partners, authorized signatories, or natural persons equivalent to the aforementioned senior managers; the bank shall adopt a risk-based approach to determine the scope of senior managers subject to review.” In practice, how should banks adopt a risk-based approach to determine the scope of senior managers subject to review?</w:t>
            </w:r>
          </w:p>
          <w:p w14:paraId="57211D5C" w14:textId="77777777"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22</w:t>
            </w:r>
            <w:r w:rsidRPr="00474153">
              <w:rPr>
                <w:rFonts w:ascii="Times New Roman" w:hAnsi="Times New Roman" w:cs="Times New Roman"/>
                <w:sz w:val="28"/>
                <w:lang w:bidi="en-US"/>
              </w:rPr>
              <w:t>:</w:t>
            </w:r>
          </w:p>
          <w:p w14:paraId="2C703C86"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To enable a better understanding of the customer’s controllers and beneficial owners, banks may decide whether or not to investigate the backgrounds of a broader number of senior managers based on the customer’s risk profile, which can be determined using a variety of factors such as customer’s risk grade, industry characteristics, place of registration and place of operations. In other words, banks should first conduct a risk analysis based on its own understanding of the banking </w:t>
            </w:r>
            <w:r w:rsidRPr="00474153">
              <w:rPr>
                <w:rFonts w:ascii="Times New Roman" w:hAnsi="Times New Roman" w:cs="Times New Roman"/>
                <w:sz w:val="28"/>
                <w:lang w:bidi="en-US"/>
              </w:rPr>
              <w:lastRenderedPageBreak/>
              <w:t>relationship and the customer before deciding on the scope of the customer’s senior managers to investigate whether or not they would conform with the bank’s internal risk management system.</w:t>
            </w:r>
          </w:p>
        </w:tc>
        <w:tc>
          <w:tcPr>
            <w:tcW w:w="4645" w:type="dxa"/>
            <w:shd w:val="clear" w:color="auto" w:fill="auto"/>
          </w:tcPr>
          <w:p w14:paraId="68CE9BF2"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6C9C2FE1" w14:textId="77777777" w:rsidTr="00E419A6">
        <w:tc>
          <w:tcPr>
            <w:tcW w:w="510" w:type="dxa"/>
            <w:shd w:val="clear" w:color="auto" w:fill="auto"/>
          </w:tcPr>
          <w:p w14:paraId="41DB6CE9"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23</w:t>
            </w:r>
          </w:p>
        </w:tc>
        <w:tc>
          <w:tcPr>
            <w:tcW w:w="8335" w:type="dxa"/>
            <w:shd w:val="clear" w:color="auto" w:fill="auto"/>
          </w:tcPr>
          <w:p w14:paraId="19EDF579" w14:textId="518CFB48"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18</w:t>
            </w:r>
            <w:r w:rsidRPr="00474153">
              <w:rPr>
                <w:rFonts w:ascii="Times New Roman" w:hAnsi="Times New Roman"/>
                <w:sz w:val="28"/>
                <w:lang w:bidi="en-US"/>
              </w:rPr>
              <w:t>: Before the national politically exposed person database is constructed entirely, can banks identify whether or not the customer is a politically exposed person by having them filled out questionnaires and signed an affidavit?</w:t>
            </w:r>
          </w:p>
          <w:p w14:paraId="58EED9BA" w14:textId="2890D984"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18</w:t>
            </w:r>
            <w:r w:rsidRPr="00474153">
              <w:rPr>
                <w:rFonts w:ascii="Times New Roman" w:hAnsi="Times New Roman" w:cs="Times New Roman"/>
                <w:sz w:val="28"/>
                <w:lang w:bidi="en-US"/>
              </w:rPr>
              <w:t>:</w:t>
            </w:r>
          </w:p>
          <w:p w14:paraId="5E23AC4E"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The purpose of regulating PEPs is to combat corruption. PEPs who are involved in corruption will have no motive to disclose their PEP status in the questionnaire, therefore questionnaires alone may not be effective for the purpose of identifying PEPs. Database is merely a tool for assisting with the identification process and cannot fully replace customer due diligence procedures. Therefore, in addition to the database, banks may also use public information and “Standard Q&amp;A for Determining the Scope of Politically Exposed Persons, Family Members and Close Associates” published by the Ministry of Justice to aid their decisions. It has been mentioned in the above Q&amp;A that the key to determining whether or not a customer is a PEP is a robust customer due diligence process, which can be enhanced through proper employee training, effective use of information, timely update of the customer’s information, use of the Internet and electronic media, internal sharing of information, etc.</w:t>
            </w:r>
          </w:p>
        </w:tc>
        <w:tc>
          <w:tcPr>
            <w:tcW w:w="8335" w:type="dxa"/>
            <w:shd w:val="clear" w:color="auto" w:fill="auto"/>
          </w:tcPr>
          <w:p w14:paraId="19961038"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23</w:t>
            </w:r>
            <w:r w:rsidRPr="00474153">
              <w:rPr>
                <w:rFonts w:ascii="Times New Roman" w:hAnsi="Times New Roman"/>
                <w:sz w:val="28"/>
                <w:lang w:bidi="en-US"/>
              </w:rPr>
              <w:t>: Before the national politically exposed person database is constructed entirely, can banks identify whether or not the customer is a politically exposed person by having them filled out questionnaires and signed an affidavit?</w:t>
            </w:r>
          </w:p>
          <w:p w14:paraId="2CF8ECB1" w14:textId="77777777"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23</w:t>
            </w:r>
            <w:r w:rsidRPr="00474153">
              <w:rPr>
                <w:rFonts w:ascii="Times New Roman" w:hAnsi="Times New Roman" w:cs="Times New Roman"/>
                <w:sz w:val="28"/>
                <w:lang w:bidi="en-US"/>
              </w:rPr>
              <w:t>:</w:t>
            </w:r>
          </w:p>
          <w:p w14:paraId="649D0C8E"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The purpose of regulating PEPs is to combat corruption. PEPs who are involved in corruption will have no motive to disclose their PEP status in the questionnaire, therefore questionnaires alone may not be effective for the purpose of identifying PEPs. Database is merely a tool for assisting with the identification process and cannot fully replace customer due diligence procedures. Therefore, in addition to the database, banks may also use public information and “Standard Q&amp;A for Determining the Scope of Politically Exposed Persons, Family Members and Close Associates” published by the Ministry of Justice to aid their decisions. It has been mentioned in the above Q&amp;A that the key to determining whether or not a customer is a PEP is a robust customer due diligence process, which can be enhanced through proper employee training, effective use of information, timely update of the customer’s information, use of the Internet and electronic media, internal sharing of information, etc.</w:t>
            </w:r>
          </w:p>
        </w:tc>
        <w:tc>
          <w:tcPr>
            <w:tcW w:w="4645" w:type="dxa"/>
            <w:shd w:val="clear" w:color="auto" w:fill="auto"/>
          </w:tcPr>
          <w:p w14:paraId="77F77DA6"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283C1B0C" w14:textId="77777777" w:rsidTr="00E419A6">
        <w:tc>
          <w:tcPr>
            <w:tcW w:w="510" w:type="dxa"/>
            <w:shd w:val="clear" w:color="auto" w:fill="auto"/>
          </w:tcPr>
          <w:p w14:paraId="3EE5BE34"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24</w:t>
            </w:r>
          </w:p>
        </w:tc>
        <w:tc>
          <w:tcPr>
            <w:tcW w:w="8335" w:type="dxa"/>
            <w:shd w:val="clear" w:color="auto" w:fill="auto"/>
          </w:tcPr>
          <w:p w14:paraId="0EBEA749" w14:textId="57F5670E" w:rsidR="00647136" w:rsidRPr="00474153" w:rsidRDefault="00647136">
            <w:pPr>
              <w:ind w:left="650" w:hangingChars="232" w:hanging="650"/>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00AF3B50" w:rsidRPr="00474153">
              <w:rPr>
                <w:rFonts w:ascii="Times New Roman" w:hAnsi="Times New Roman" w:cs="Times New Roman"/>
                <w:color w:val="FF0000"/>
                <w:sz w:val="28"/>
                <w:u w:val="single"/>
                <w:lang w:bidi="en-US"/>
              </w:rPr>
              <w:t>19</w:t>
            </w:r>
            <w:r w:rsidRPr="00474153">
              <w:rPr>
                <w:rFonts w:ascii="Times New Roman" w:hAnsi="Times New Roman" w:cs="Times New Roman"/>
                <w:sz w:val="28"/>
                <w:lang w:bidi="en-US"/>
              </w:rPr>
              <w:t>: According to Item 4, Subparagraph 13, Article 4 of the Model Guidelines, for persons who are non-active PEPs of domestic government, foreign governments, or international organizations, banks shall consider relevant risk factors and evaluate their influence, and determine whether or not they should be subject to the regulations of the last three items with the risk-based approach implemented. What are examples of relevant risk factors?</w:t>
            </w:r>
          </w:p>
          <w:p w14:paraId="43245F8E" w14:textId="7C7F7693"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19</w:t>
            </w:r>
            <w:r w:rsidRPr="00474153">
              <w:rPr>
                <w:rFonts w:ascii="Times New Roman" w:hAnsi="Times New Roman" w:cs="Times New Roman"/>
                <w:sz w:val="28"/>
                <w:lang w:bidi="en-US"/>
              </w:rPr>
              <w:t xml:space="preserve">: </w:t>
            </w:r>
          </w:p>
          <w:p w14:paraId="6572A1BA"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When evaluating the influence of non-active PEPs, banks may refer to Article 5 of “Standard Q&amp;A for Determining the Scope of Politically </w:t>
            </w:r>
            <w:r w:rsidRPr="00474153">
              <w:rPr>
                <w:rFonts w:ascii="Times New Roman" w:hAnsi="Times New Roman" w:cs="Times New Roman"/>
                <w:sz w:val="28"/>
                <w:lang w:bidi="en-US"/>
              </w:rPr>
              <w:lastRenderedPageBreak/>
              <w:t>Exposed Persons, Family Members and Close Associates” published by the Ministry of Justice for guidance. Whether or not banks should adopt enhanced customer due diligence as a risk mitigation practice after a customer has left public service shall depend on a number of risk factors including: level of influence remaining in the PEP, the duration of time spent in key roles, the PEP’s new role and connection between the new role and the previous key role. The duration of time spent in key roles, the PEP’s new role, and connection between the new role and the previous key role are all useful factors for assessing a PEP’s remaining influence.</w:t>
            </w:r>
          </w:p>
        </w:tc>
        <w:tc>
          <w:tcPr>
            <w:tcW w:w="8335" w:type="dxa"/>
            <w:shd w:val="clear" w:color="auto" w:fill="auto"/>
          </w:tcPr>
          <w:p w14:paraId="79B33FEC" w14:textId="77777777" w:rsidR="00647136" w:rsidRPr="00474153" w:rsidRDefault="00647136">
            <w:pPr>
              <w:ind w:left="650" w:hangingChars="232" w:hanging="65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w:t>
            </w:r>
            <w:r w:rsidRPr="00474153">
              <w:rPr>
                <w:rFonts w:ascii="Times New Roman" w:hAnsi="Times New Roman" w:cs="Times New Roman"/>
                <w:color w:val="FF0000"/>
                <w:sz w:val="28"/>
                <w:u w:val="single"/>
                <w:lang w:bidi="en-US"/>
              </w:rPr>
              <w:t>24</w:t>
            </w:r>
            <w:r w:rsidRPr="00474153">
              <w:rPr>
                <w:rFonts w:ascii="Times New Roman" w:hAnsi="Times New Roman" w:cs="Times New Roman"/>
                <w:sz w:val="28"/>
                <w:lang w:bidi="en-US"/>
              </w:rPr>
              <w:t>: According to Item 4, Subparagraph 13, Article 4 of the Model Guidelines, for persons who are non-active PEPs of domestic government, foreign governments, or international organizations, banks shall consider relevant risk factors and evaluate their influence, and determine whether or not they should be subject to the regulations of the last three items with the risk-based approach implemented. What are examples of relevant risk factors?</w:t>
            </w:r>
          </w:p>
          <w:p w14:paraId="6CA83B64" w14:textId="77777777"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24</w:t>
            </w:r>
            <w:r w:rsidRPr="00474153">
              <w:rPr>
                <w:rFonts w:ascii="Times New Roman" w:hAnsi="Times New Roman" w:cs="Times New Roman"/>
                <w:sz w:val="28"/>
                <w:lang w:bidi="en-US"/>
              </w:rPr>
              <w:t>:</w:t>
            </w:r>
          </w:p>
          <w:p w14:paraId="0CFB5282"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When evaluating the influence of non-active PEPs, banks may refer to Article 5 of “Standard Q&amp;A for Determining the Scope of Politically </w:t>
            </w:r>
            <w:r w:rsidRPr="00474153">
              <w:rPr>
                <w:rFonts w:ascii="Times New Roman" w:hAnsi="Times New Roman" w:cs="Times New Roman"/>
                <w:sz w:val="28"/>
                <w:lang w:bidi="en-US"/>
              </w:rPr>
              <w:lastRenderedPageBreak/>
              <w:t>Exposed Persons, Family Members and Close Associates” published by the Ministry of Justice for guidance. Whether or not banks should adopt enhanced customer due diligence as a risk mitigation practice after a customer has left public service shall depend on a number of risk factors including: level of influence remaining in the PEP, the duration of time spent in key roles, the PEP’s new role and connection between the new role and the previous key role. The duration of time spent in key roles, the PEP’s new role, and connection between the new role and the previous key role are all useful factors for assessing a PEP’s remaining influence.</w:t>
            </w:r>
          </w:p>
        </w:tc>
        <w:tc>
          <w:tcPr>
            <w:tcW w:w="4645" w:type="dxa"/>
            <w:shd w:val="clear" w:color="auto" w:fill="auto"/>
          </w:tcPr>
          <w:p w14:paraId="2098FD5A"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44C3B70C" w14:textId="77777777" w:rsidTr="00E419A6">
        <w:tc>
          <w:tcPr>
            <w:tcW w:w="510" w:type="dxa"/>
            <w:shd w:val="clear" w:color="auto" w:fill="auto"/>
          </w:tcPr>
          <w:p w14:paraId="24E65B6D"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25</w:t>
            </w:r>
          </w:p>
        </w:tc>
        <w:tc>
          <w:tcPr>
            <w:tcW w:w="8335" w:type="dxa"/>
            <w:shd w:val="clear" w:color="auto" w:fill="auto"/>
          </w:tcPr>
          <w:p w14:paraId="344E23B0" w14:textId="40F4D439" w:rsidR="00647136" w:rsidRPr="00474153" w:rsidRDefault="00647136">
            <w:pPr>
              <w:ind w:left="650" w:hangingChars="232" w:hanging="650"/>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00AF3B50" w:rsidRPr="00474153">
              <w:rPr>
                <w:rFonts w:ascii="Times New Roman" w:hAnsi="Times New Roman" w:cs="Times New Roman"/>
                <w:color w:val="FF0000"/>
                <w:sz w:val="28"/>
                <w:u w:val="single"/>
                <w:lang w:bidi="en-US"/>
              </w:rPr>
              <w:t>20</w:t>
            </w:r>
            <w:r w:rsidRPr="00474153">
              <w:rPr>
                <w:rFonts w:ascii="Times New Roman" w:hAnsi="Times New Roman" w:cs="Times New Roman"/>
                <w:sz w:val="28"/>
                <w:lang w:bidi="en-US"/>
              </w:rPr>
              <w:t>: The provision of Item 6, Subparagraph 13, Article 4 of the Model Guidelines states that “for the customers listed in Sub-items 1 to 3 and 8, Item 3, Subparagraph 7, when their beneficial owners or senior managers are PEPs, they are not subject to the provision of Item 1 to 5 of this Subparagraph. ” Is it possible to exclude all of Sub-items 1~9, Item 3, Sub-paragraph 7 from Items 1~5 of this Sub-paragraph?</w:t>
            </w:r>
          </w:p>
          <w:p w14:paraId="34BBEE88" w14:textId="0B7E5B10"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20</w:t>
            </w:r>
            <w:r w:rsidRPr="00474153">
              <w:rPr>
                <w:rFonts w:ascii="Times New Roman" w:hAnsi="Times New Roman" w:cs="Times New Roman"/>
                <w:sz w:val="28"/>
                <w:lang w:bidi="en-US"/>
              </w:rPr>
              <w:t xml:space="preserve">: </w:t>
            </w:r>
          </w:p>
          <w:p w14:paraId="28BA97D9"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Beneficial owners and PEPs are regulated for different purposes. For beneficial owners, the main concern is transparency, whereas for PEPs the main concern is anti-bribery and corruption. Subparagraph 13, Article 4 of the Model Guidelines has been drafted with reference to Paragraph 2, Article 10 of the “Regulations Governing Anti-Money Laundering of Financial Institutions,” which stated the legal basis as: “Given the fact that senior managers of local government agencies, local state-owned enterprises, foreign government agencies and local government-managed funds (as listed in Sub-items 1 to 3 and 8, Item 3, Subparagraph 7, Article 3) are mostly PEPs, it is unreasonable to have financial institutions undertake enhanced customer due diligence or review risks on a yearly basis. Paragraph 2 was established as a result. ” Apart from local government agencies, local state-owned enterprises, foreign government agencies and local government-managed funds, other customers may still be exploited by PEPs for corruption, and therefore cannot be excluded.</w:t>
            </w:r>
          </w:p>
        </w:tc>
        <w:tc>
          <w:tcPr>
            <w:tcW w:w="8335" w:type="dxa"/>
            <w:shd w:val="clear" w:color="auto" w:fill="auto"/>
          </w:tcPr>
          <w:p w14:paraId="19601B67" w14:textId="77777777" w:rsidR="00647136" w:rsidRPr="00474153" w:rsidRDefault="00647136">
            <w:pPr>
              <w:ind w:left="650" w:hangingChars="232" w:hanging="650"/>
              <w:jc w:val="both"/>
              <w:rPr>
                <w:rFonts w:ascii="Times New Roman" w:eastAsia="標楷體" w:hAnsi="Times New Roman" w:cs="Times New Roman"/>
                <w:sz w:val="28"/>
                <w:szCs w:val="28"/>
              </w:rPr>
            </w:pPr>
            <w:r w:rsidRPr="00474153">
              <w:rPr>
                <w:rFonts w:ascii="Times New Roman" w:hAnsi="Times New Roman" w:cs="Times New Roman"/>
                <w:sz w:val="28"/>
                <w:u w:val="single"/>
                <w:lang w:bidi="en-US"/>
              </w:rPr>
              <w:t>Q</w:t>
            </w:r>
            <w:r w:rsidRPr="00474153">
              <w:rPr>
                <w:rFonts w:ascii="Times New Roman" w:hAnsi="Times New Roman" w:cs="Times New Roman"/>
                <w:color w:val="FF0000"/>
                <w:sz w:val="28"/>
                <w:u w:val="single"/>
                <w:lang w:bidi="en-US"/>
              </w:rPr>
              <w:t>25</w:t>
            </w:r>
            <w:r w:rsidRPr="00474153">
              <w:rPr>
                <w:rFonts w:ascii="Times New Roman" w:hAnsi="Times New Roman" w:cs="Times New Roman"/>
                <w:sz w:val="28"/>
                <w:lang w:bidi="en-US"/>
              </w:rPr>
              <w:t>: The provision of Item 6, Subparagraph 13, Article 4 of the Model Guidelines states that “for the customers listed in Sub-items 1 to 3 and 8, Item 3, Subparagraph 7, when their beneficial owners or senior managers are PEPs, they are not subject to the provision of Item 1 to 5 of this Subparagraph. ” Is it possible to exclude all of Sub-items 1~9, Item 3, Sub-paragraph 7 from Items 1~5 of this Sub-paragraph?</w:t>
            </w:r>
          </w:p>
          <w:p w14:paraId="17080168" w14:textId="77777777"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u w:val="single"/>
                <w:lang w:bidi="en-US"/>
              </w:rPr>
              <w:t>A</w:t>
            </w:r>
            <w:r w:rsidRPr="00474153">
              <w:rPr>
                <w:rFonts w:ascii="Times New Roman" w:hAnsi="Times New Roman" w:cs="Times New Roman"/>
                <w:color w:val="FF0000"/>
                <w:sz w:val="28"/>
                <w:u w:val="single"/>
                <w:lang w:bidi="en-US"/>
              </w:rPr>
              <w:t>25</w:t>
            </w:r>
            <w:r w:rsidRPr="00474153">
              <w:rPr>
                <w:rFonts w:ascii="Times New Roman" w:hAnsi="Times New Roman" w:cs="Times New Roman"/>
                <w:sz w:val="28"/>
                <w:lang w:bidi="en-US"/>
              </w:rPr>
              <w:t>:</w:t>
            </w:r>
          </w:p>
          <w:p w14:paraId="292AB518"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Beneficial owners and PEPs are regulated for different purposes. For beneficial owners, the main concern is transparency, whereas for PEPs the main concern is anti-bribery and corruption. Subparagraph 13, Article 4 of the Model Guidelines has been drafted with reference to Paragraph 2, Article 10 of the “Regulations Governing Anti-Money Laundering of Financial Institutions,” which stated the legal basis as: “Given the fact that senior managers of local government agencies, local state-owned enterprises, foreign government agencies and local government-managed funds (as listed in Sub-items 1 to 3 and 8, Item 3, Subparagraph 7, Article 3) are mostly PEPs, it is unreasonable to have financial institutions undertake enhanced customer due diligence or review risks on a yearly basis. Paragraph 2 was established as a result. ” Apart from local government agencies, local state-owned enterprises, foreign government agencies and local government-managed funds, other customers may still be exploited by PEPs for corruption, and therefore cannot be excluded.</w:t>
            </w:r>
          </w:p>
        </w:tc>
        <w:tc>
          <w:tcPr>
            <w:tcW w:w="4645" w:type="dxa"/>
            <w:shd w:val="clear" w:color="auto" w:fill="auto"/>
          </w:tcPr>
          <w:p w14:paraId="66722A0A"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7F69F1D1" w14:textId="77777777" w:rsidTr="00E419A6">
        <w:tc>
          <w:tcPr>
            <w:tcW w:w="510" w:type="dxa"/>
            <w:shd w:val="clear" w:color="auto" w:fill="auto"/>
          </w:tcPr>
          <w:p w14:paraId="2352130A"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26</w:t>
            </w:r>
          </w:p>
        </w:tc>
        <w:tc>
          <w:tcPr>
            <w:tcW w:w="8335" w:type="dxa"/>
            <w:shd w:val="clear" w:color="auto" w:fill="auto"/>
          </w:tcPr>
          <w:p w14:paraId="1EB12BA5" w14:textId="09782BD0"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21</w:t>
            </w:r>
            <w:r w:rsidRPr="00474153">
              <w:rPr>
                <w:rFonts w:ascii="Times New Roman" w:hAnsi="Times New Roman"/>
                <w:sz w:val="28"/>
                <w:lang w:bidi="en-US"/>
              </w:rPr>
              <w:t>: According to Article 10 of the “Model Guidelines for Banks Accepting Customers’ Digital Deposit Account Opening Online Request,” digital deposit accounts are subject to the regulations regarding high-risk customers as stated in “Model Guidelines Governing Anti-Money Laundering and Combating the Financing of Terrorism by the Banking Sector.”</w:t>
            </w:r>
          </w:p>
          <w:p w14:paraId="0DE41796" w14:textId="62358A79" w:rsidR="00647136" w:rsidRPr="00474153" w:rsidRDefault="00647136">
            <w:pPr>
              <w:pStyle w:val="a4"/>
              <w:snapToGrid w:val="0"/>
              <w:spacing w:line="400" w:lineRule="exact"/>
              <w:ind w:leftChars="0" w:left="566" w:hangingChars="202" w:hanging="566"/>
              <w:jc w:val="both"/>
              <w:rPr>
                <w:rFonts w:ascii="Times New Roman" w:eastAsia="標楷體" w:hAnsi="Times New Roman"/>
                <w:bCs/>
                <w:caps/>
                <w:sz w:val="28"/>
                <w:szCs w:val="28"/>
              </w:rPr>
            </w:pPr>
            <w:r w:rsidRPr="00474153">
              <w:rPr>
                <w:rFonts w:ascii="Times New Roman" w:hAnsi="Times New Roman"/>
                <w:sz w:val="28"/>
                <w:lang w:bidi="en-US"/>
              </w:rPr>
              <w:t>A</w:t>
            </w:r>
            <w:r w:rsidR="00AF3B50" w:rsidRPr="00474153">
              <w:rPr>
                <w:rFonts w:ascii="Times New Roman" w:hAnsi="Times New Roman"/>
                <w:color w:val="FF0000"/>
                <w:sz w:val="28"/>
                <w:u w:val="single"/>
                <w:lang w:bidi="en-US"/>
              </w:rPr>
              <w:t>21</w:t>
            </w:r>
            <w:r w:rsidRPr="00474153">
              <w:rPr>
                <w:rFonts w:ascii="Times New Roman" w:hAnsi="Times New Roman"/>
                <w:sz w:val="28"/>
                <w:lang w:bidi="en-US"/>
              </w:rPr>
              <w:t>:</w:t>
            </w:r>
          </w:p>
          <w:p w14:paraId="02698347" w14:textId="77777777" w:rsidR="00647136" w:rsidRPr="00474153" w:rsidRDefault="00647136">
            <w:pPr>
              <w:pStyle w:val="a4"/>
              <w:numPr>
                <w:ilvl w:val="0"/>
                <w:numId w:val="21"/>
              </w:numPr>
              <w:spacing w:line="400" w:lineRule="exact"/>
              <w:ind w:leftChars="0" w:rightChars="-27" w:right="-65"/>
              <w:jc w:val="both"/>
              <w:rPr>
                <w:rFonts w:ascii="Times New Roman" w:eastAsia="標楷體" w:hAnsi="Times New Roman"/>
                <w:sz w:val="28"/>
                <w:szCs w:val="28"/>
              </w:rPr>
            </w:pPr>
            <w:r w:rsidRPr="00474153">
              <w:rPr>
                <w:rFonts w:ascii="Times New Roman" w:hAnsi="Times New Roman"/>
                <w:sz w:val="28"/>
                <w:lang w:bidi="en-US"/>
              </w:rPr>
              <w:t>Banks are required to follow the “Model Guidelines for Banks Accepting Customers’ Digital Deposit Account Opening Online Request” for the various steps and identity confirmation measures involved in the opening of a digital deposit account. Furthermore, Note 6 of “Guidelines on Money Laundering and Terrorism Financing Risk Assessment and Prevention Plans for Banks” in the “Model Guidelines Governing Anti-Money Laundering and Combating the Financing of Terrorism by the Banking Sector” requires banks to assign a risk grade to this type of customers based on existing policies and procedures at the time when the business relationship is established.</w:t>
            </w:r>
          </w:p>
          <w:p w14:paraId="24DDED99" w14:textId="77777777" w:rsidR="00647136" w:rsidRPr="00474153" w:rsidRDefault="00647136">
            <w:pPr>
              <w:pStyle w:val="a4"/>
              <w:numPr>
                <w:ilvl w:val="0"/>
                <w:numId w:val="21"/>
              </w:numPr>
              <w:spacing w:line="400" w:lineRule="exact"/>
              <w:ind w:leftChars="0" w:rightChars="-27" w:right="-65"/>
              <w:jc w:val="both"/>
              <w:rPr>
                <w:rFonts w:ascii="Times New Roman" w:eastAsia="標楷體" w:hAnsi="Times New Roman"/>
                <w:sz w:val="28"/>
                <w:szCs w:val="28"/>
              </w:rPr>
            </w:pPr>
            <w:r w:rsidRPr="00474153">
              <w:rPr>
                <w:rFonts w:ascii="Times New Roman" w:hAnsi="Times New Roman"/>
                <w:sz w:val="28"/>
                <w:lang w:bidi="en-US"/>
              </w:rPr>
              <w:t>However, regardless of the risk grade that a bank assigns to this type of customers, banks shall adopt the practices outlined for high-risk customers in the “Model Guidelines Governing Anti-Money Laundering and Combating the Financing of Terrorism by the Banking Sector” for the management and control of digital deposit accounts after they are opened. In other words, banks may adopt the sample control measures outlined for high-risk customers in Note 7 of the above Guidelines (all or part) as enhanced control for this type of customers.</w:t>
            </w:r>
          </w:p>
        </w:tc>
        <w:tc>
          <w:tcPr>
            <w:tcW w:w="8335" w:type="dxa"/>
            <w:shd w:val="clear" w:color="auto" w:fill="auto"/>
          </w:tcPr>
          <w:p w14:paraId="70F0BFE7"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26</w:t>
            </w:r>
            <w:r w:rsidRPr="00474153">
              <w:rPr>
                <w:rFonts w:ascii="Times New Roman" w:hAnsi="Times New Roman"/>
                <w:sz w:val="28"/>
                <w:lang w:bidi="en-US"/>
              </w:rPr>
              <w:t>: According to Article 10 of the “Model Guidelines for Banks Accepting Customers’ Digital Deposit Account Opening Online Request,” digital deposit accounts are subject to the regulations regarding high-risk customers as stated in “Model Guidelines Governing Anti-Money Laundering and Combating the Financing of Terrorism by the Banking Sector.”</w:t>
            </w:r>
          </w:p>
          <w:p w14:paraId="5EFEF009" w14:textId="77777777" w:rsidR="00647136" w:rsidRPr="00474153" w:rsidRDefault="00647136">
            <w:pPr>
              <w:pStyle w:val="a4"/>
              <w:snapToGrid w:val="0"/>
              <w:spacing w:line="400" w:lineRule="exact"/>
              <w:ind w:leftChars="0" w:left="566" w:hangingChars="202" w:hanging="566"/>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26</w:t>
            </w:r>
            <w:r w:rsidRPr="00474153">
              <w:rPr>
                <w:rFonts w:ascii="Times New Roman" w:hAnsi="Times New Roman"/>
                <w:sz w:val="28"/>
                <w:lang w:bidi="en-US"/>
              </w:rPr>
              <w:t>:</w:t>
            </w:r>
          </w:p>
          <w:p w14:paraId="754B717E" w14:textId="77777777" w:rsidR="00647136" w:rsidRPr="00474153" w:rsidRDefault="00647136">
            <w:pPr>
              <w:pStyle w:val="a4"/>
              <w:numPr>
                <w:ilvl w:val="0"/>
                <w:numId w:val="43"/>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Banks are required to follow the “Model Guidelines for Banks Accepting Customers’ Digital Deposit Account Opening Online Request” for the various steps and identity confirmation measures involved in the opening of a digital deposit account. Furthermore, Note 6 of “Guidelines on Money Laundering and Terrorism Financing Risk Assessment and Prevention Plans for Banks” in the “Model Guidelines Governing Anti-Money Laundering and Combating the Financing of Terrorism by the Banking Sector” requires banks to assign a risk grade to this type of customers based on existing policies and procedures at the time when the business relationship is established.</w:t>
            </w:r>
          </w:p>
          <w:p w14:paraId="6A4DE203" w14:textId="77777777" w:rsidR="00647136" w:rsidRPr="00474153" w:rsidRDefault="00647136">
            <w:pPr>
              <w:pStyle w:val="a4"/>
              <w:numPr>
                <w:ilvl w:val="0"/>
                <w:numId w:val="43"/>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However, regardless of the risk grade that a bank assigns to this type of customers, banks shall adopt the practices outlined for high-risk customers in the “Model Guidelines Governing Anti-Money Laundering and Combating the Financing of Terrorism by the Banking Sector” for the management and control of digital deposit accounts after they are opened. In other words, banks may adopt the sample control measures outlined for high-risk customers in Note 7 of the above Guidelines (all or part) as enhanced control for this type of customers.</w:t>
            </w:r>
          </w:p>
        </w:tc>
        <w:tc>
          <w:tcPr>
            <w:tcW w:w="4645" w:type="dxa"/>
            <w:shd w:val="clear" w:color="auto" w:fill="auto"/>
          </w:tcPr>
          <w:p w14:paraId="48E47504"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11DE171B" w14:textId="77777777" w:rsidTr="00E419A6">
        <w:tc>
          <w:tcPr>
            <w:tcW w:w="510" w:type="dxa"/>
            <w:shd w:val="clear" w:color="auto" w:fill="auto"/>
          </w:tcPr>
          <w:p w14:paraId="1E6ED730"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27</w:t>
            </w:r>
          </w:p>
        </w:tc>
        <w:tc>
          <w:tcPr>
            <w:tcW w:w="8335" w:type="dxa"/>
            <w:shd w:val="clear" w:color="auto" w:fill="auto"/>
          </w:tcPr>
          <w:p w14:paraId="1D421472" w14:textId="3B0E41D6"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22</w:t>
            </w:r>
            <w:r w:rsidRPr="00474153">
              <w:rPr>
                <w:rFonts w:ascii="Times New Roman" w:hAnsi="Times New Roman"/>
                <w:sz w:val="28"/>
                <w:lang w:bidi="en-US"/>
              </w:rPr>
              <w:t xml:space="preserve">: Regarding Subparagraph 1, Paragraph 1, Article 6 of the “Regulations Governing Anti-Money Laundering of Financial Institutions, and Subparagraph 1, Paragraph 1, Article 6 of the Model Guidelines, banks are required to obtain the approval of senior manager before establishing or adding new business relationships. For the so-called senior managers, is it meant for a </w:t>
            </w:r>
            <w:r w:rsidRPr="00474153">
              <w:rPr>
                <w:rFonts w:ascii="Times New Roman" w:hAnsi="Times New Roman"/>
                <w:sz w:val="28"/>
                <w:lang w:bidi="en-US"/>
              </w:rPr>
              <w:lastRenderedPageBreak/>
              <w:t>certain level of authority? Do they have to be one level higher than the authority that approves the transaction/relationship? If the bank has already taken the risks into consideration and involved senior managers or assigned two or more senior managers to the approval of transactions, is there still a need to seek approval one level higher than the authority that approves the transaction/relationship?</w:t>
            </w:r>
          </w:p>
          <w:p w14:paraId="0B17223F" w14:textId="2D008E94"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22</w:t>
            </w:r>
            <w:r w:rsidRPr="00474153">
              <w:rPr>
                <w:rFonts w:ascii="Times New Roman" w:hAnsi="Times New Roman" w:cs="Times New Roman"/>
                <w:sz w:val="28"/>
                <w:lang w:bidi="en-US"/>
              </w:rPr>
              <w:t>:</w:t>
            </w:r>
          </w:p>
          <w:p w14:paraId="118993A5" w14:textId="77777777" w:rsidR="00647136" w:rsidRPr="00474153" w:rsidRDefault="00647136">
            <w:pPr>
              <w:pStyle w:val="a4"/>
              <w:numPr>
                <w:ilvl w:val="0"/>
                <w:numId w:val="22"/>
              </w:numPr>
              <w:spacing w:line="400" w:lineRule="exact"/>
              <w:ind w:leftChars="0" w:rightChars="-27" w:right="-65"/>
              <w:jc w:val="both"/>
              <w:rPr>
                <w:rFonts w:ascii="Times New Roman" w:eastAsia="標楷體" w:hAnsi="Times New Roman"/>
                <w:sz w:val="28"/>
                <w:szCs w:val="28"/>
              </w:rPr>
            </w:pPr>
            <w:r w:rsidRPr="00474153">
              <w:rPr>
                <w:rFonts w:ascii="Times New Roman" w:hAnsi="Times New Roman"/>
                <w:sz w:val="28"/>
                <w:lang w:bidi="en-US"/>
              </w:rPr>
              <w:t>Banks are required to implement appropriate levels of approval authority, including the involvement of AML Officers or the board of directors whenever deemed necessary, to address customers’ ML risks when establishing new or additional relationship.</w:t>
            </w:r>
          </w:p>
          <w:p w14:paraId="65F1E2BA" w14:textId="77777777" w:rsidR="00647136" w:rsidRPr="00474153" w:rsidRDefault="00647136">
            <w:pPr>
              <w:pStyle w:val="a4"/>
              <w:numPr>
                <w:ilvl w:val="0"/>
                <w:numId w:val="22"/>
              </w:numPr>
              <w:spacing w:line="400" w:lineRule="exact"/>
              <w:ind w:leftChars="0" w:rightChars="-27" w:right="-65"/>
              <w:jc w:val="both"/>
              <w:rPr>
                <w:rFonts w:ascii="Times New Roman" w:eastAsia="標楷體" w:hAnsi="Times New Roman"/>
                <w:sz w:val="28"/>
                <w:szCs w:val="28"/>
              </w:rPr>
            </w:pPr>
            <w:r w:rsidRPr="00474153">
              <w:rPr>
                <w:rFonts w:ascii="Times New Roman" w:hAnsi="Times New Roman"/>
                <w:sz w:val="28"/>
                <w:lang w:bidi="en-US"/>
              </w:rPr>
              <w:t>ML risks may be different from other risks that banks consider from a business perspective (</w:t>
            </w:r>
            <w:r w:rsidRPr="00474153">
              <w:rPr>
                <w:rFonts w:ascii="Times New Roman" w:hAnsi="Times New Roman"/>
                <w:i/>
                <w:sz w:val="28"/>
                <w:lang w:bidi="en-US"/>
              </w:rPr>
              <w:t>e.g</w:t>
            </w:r>
            <w:r w:rsidRPr="00474153">
              <w:rPr>
                <w:rFonts w:ascii="Times New Roman" w:hAnsi="Times New Roman"/>
                <w:sz w:val="28"/>
                <w:lang w:bidi="en-US"/>
              </w:rPr>
              <w:t>. credit risk), and therefore should be approved at a level that reflects the bank’s ML risk management. Customers of high ML risk should be approved at the level of authority that is at least one level higher than customers of non-high ML risk.</w:t>
            </w:r>
          </w:p>
          <w:p w14:paraId="0B93E5D8" w14:textId="77777777" w:rsidR="00647136" w:rsidRPr="00474153" w:rsidRDefault="00647136">
            <w:pPr>
              <w:pStyle w:val="a4"/>
              <w:numPr>
                <w:ilvl w:val="0"/>
                <w:numId w:val="22"/>
              </w:numPr>
              <w:spacing w:line="400" w:lineRule="exact"/>
              <w:ind w:leftChars="0" w:rightChars="-27" w:right="-65"/>
              <w:jc w:val="both"/>
              <w:rPr>
                <w:rFonts w:ascii="Times New Roman" w:eastAsia="標楷體" w:hAnsi="Times New Roman"/>
                <w:sz w:val="28"/>
                <w:szCs w:val="28"/>
              </w:rPr>
            </w:pPr>
            <w:r w:rsidRPr="00474153">
              <w:rPr>
                <w:rFonts w:ascii="Times New Roman" w:hAnsi="Times New Roman"/>
                <w:sz w:val="28"/>
                <w:lang w:bidi="en-US"/>
              </w:rPr>
              <w:t>However, if a bank is already approving business transactions at the level of the approving authority applicable to high ML risk customers, there is no need to escalate the approval authority any further unless otherwise stipulated (</w:t>
            </w:r>
            <w:r w:rsidRPr="00474153">
              <w:rPr>
                <w:rFonts w:ascii="Times New Roman" w:hAnsi="Times New Roman"/>
                <w:i/>
                <w:sz w:val="28"/>
                <w:lang w:bidi="en-US"/>
              </w:rPr>
              <w:t>e.g.</w:t>
            </w:r>
            <w:r w:rsidRPr="00474153">
              <w:rPr>
                <w:rFonts w:ascii="Times New Roman" w:hAnsi="Times New Roman"/>
                <w:sz w:val="28"/>
                <w:lang w:bidi="en-US"/>
              </w:rPr>
              <w:t xml:space="preserve"> decisions that are subject to approval by the AML Officer or are reported to the board of directors).</w:t>
            </w:r>
          </w:p>
        </w:tc>
        <w:tc>
          <w:tcPr>
            <w:tcW w:w="8335" w:type="dxa"/>
            <w:shd w:val="clear" w:color="auto" w:fill="auto"/>
          </w:tcPr>
          <w:p w14:paraId="43E55501"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27</w:t>
            </w:r>
            <w:r w:rsidRPr="00474153">
              <w:rPr>
                <w:rFonts w:ascii="Times New Roman" w:hAnsi="Times New Roman"/>
                <w:sz w:val="28"/>
                <w:lang w:bidi="en-US"/>
              </w:rPr>
              <w:t xml:space="preserve">: Regarding Subparagraph 1, Paragraph 1, Article 6 of the “Regulations Governing Anti-Money Laundering of Financial Institutions, and Subparagraph 1, Paragraph 1, Article 6 of the Model Guidelines, banks are required to obtain the approval of senior manager before establishing or adding new business relationships. For the so-called senior managers, is it meant for a </w:t>
            </w:r>
            <w:r w:rsidRPr="00474153">
              <w:rPr>
                <w:rFonts w:ascii="Times New Roman" w:hAnsi="Times New Roman"/>
                <w:sz w:val="28"/>
                <w:lang w:bidi="en-US"/>
              </w:rPr>
              <w:lastRenderedPageBreak/>
              <w:t>certain level of authority? Do they have to be one level higher than the authority that approves the transaction/relationship? If the bank has already taken the risks into consideration and involved senior managers or assigned two or more senior managers to the approval of transactions, is there still a need to seek approval one level higher than the authority that approves the transaction/relationship?</w:t>
            </w:r>
          </w:p>
          <w:p w14:paraId="4FFAD06B" w14:textId="77777777" w:rsidR="00647136" w:rsidRPr="00474153" w:rsidRDefault="00647136">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27</w:t>
            </w:r>
            <w:r w:rsidRPr="00474153">
              <w:rPr>
                <w:rFonts w:ascii="Times New Roman" w:hAnsi="Times New Roman" w:cs="Times New Roman"/>
                <w:sz w:val="28"/>
                <w:lang w:bidi="en-US"/>
              </w:rPr>
              <w:t>:</w:t>
            </w:r>
          </w:p>
          <w:p w14:paraId="641A7688" w14:textId="77777777" w:rsidR="00647136" w:rsidRPr="00474153" w:rsidRDefault="00647136">
            <w:pPr>
              <w:pStyle w:val="a4"/>
              <w:numPr>
                <w:ilvl w:val="0"/>
                <w:numId w:val="44"/>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Banks are required to implement appropriate levels of approval authority, including the involvement of AML Officers or the board of directors whenever deemed necessary, to address customers’ ML risks when establishing new or additional relationship.</w:t>
            </w:r>
          </w:p>
          <w:p w14:paraId="66421B31" w14:textId="77777777" w:rsidR="00647136" w:rsidRPr="00474153" w:rsidRDefault="00647136">
            <w:pPr>
              <w:pStyle w:val="a4"/>
              <w:numPr>
                <w:ilvl w:val="0"/>
                <w:numId w:val="44"/>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ML risks may be different from other risks that banks consider from a business perspective (</w:t>
            </w:r>
            <w:r w:rsidRPr="00474153">
              <w:rPr>
                <w:rFonts w:ascii="Times New Roman" w:hAnsi="Times New Roman"/>
                <w:i/>
                <w:sz w:val="28"/>
                <w:lang w:bidi="en-US"/>
              </w:rPr>
              <w:t>e.g</w:t>
            </w:r>
            <w:r w:rsidRPr="00474153">
              <w:rPr>
                <w:rFonts w:ascii="Times New Roman" w:hAnsi="Times New Roman"/>
                <w:sz w:val="28"/>
                <w:lang w:bidi="en-US"/>
              </w:rPr>
              <w:t>. credit risk), and therefore should be approved at a level that reflects the bank’s ML risk management. Customers of high ML risk should be approved at the level of authority that is at least one level higher than customers of non-high ML risk.</w:t>
            </w:r>
          </w:p>
          <w:p w14:paraId="111A1433" w14:textId="77777777" w:rsidR="00647136" w:rsidRPr="00474153" w:rsidRDefault="00647136">
            <w:pPr>
              <w:pStyle w:val="a4"/>
              <w:numPr>
                <w:ilvl w:val="0"/>
                <w:numId w:val="44"/>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sz w:val="28"/>
                <w:lang w:bidi="en-US"/>
              </w:rPr>
              <w:t>However, if a bank is already approving business transactions at the level of the approving authority applicable to high ML risk customers, there is no need to escalate the approval authority any further unless otherwise stipulated (</w:t>
            </w:r>
            <w:r w:rsidRPr="00474153">
              <w:rPr>
                <w:rFonts w:ascii="Times New Roman" w:hAnsi="Times New Roman"/>
                <w:i/>
                <w:sz w:val="28"/>
                <w:lang w:bidi="en-US"/>
              </w:rPr>
              <w:t>e.g.</w:t>
            </w:r>
            <w:r w:rsidRPr="00474153">
              <w:rPr>
                <w:rFonts w:ascii="Times New Roman" w:hAnsi="Times New Roman"/>
                <w:sz w:val="28"/>
                <w:lang w:bidi="en-US"/>
              </w:rPr>
              <w:t xml:space="preserve"> decisions that are subject to approval by the AML Officer or are reported to the board of directors).</w:t>
            </w:r>
          </w:p>
        </w:tc>
        <w:tc>
          <w:tcPr>
            <w:tcW w:w="4645" w:type="dxa"/>
            <w:shd w:val="clear" w:color="auto" w:fill="auto"/>
          </w:tcPr>
          <w:p w14:paraId="3085A37F"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5D9EC108" w14:textId="77777777" w:rsidTr="00E419A6">
        <w:tc>
          <w:tcPr>
            <w:tcW w:w="510" w:type="dxa"/>
            <w:shd w:val="clear" w:color="auto" w:fill="auto"/>
          </w:tcPr>
          <w:p w14:paraId="102923BB"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28</w:t>
            </w:r>
          </w:p>
        </w:tc>
        <w:tc>
          <w:tcPr>
            <w:tcW w:w="8335" w:type="dxa"/>
            <w:shd w:val="clear" w:color="auto" w:fill="auto"/>
          </w:tcPr>
          <w:p w14:paraId="154C63E6" w14:textId="1DE459A0" w:rsidR="00647136" w:rsidRPr="00474153" w:rsidRDefault="00647136" w:rsidP="00A56215">
            <w:pPr>
              <w:ind w:left="764" w:hangingChars="273" w:hanging="764"/>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00AF3B50" w:rsidRPr="00474153">
              <w:rPr>
                <w:rFonts w:ascii="Times New Roman" w:hAnsi="Times New Roman" w:cs="Times New Roman"/>
                <w:color w:val="FF0000"/>
                <w:sz w:val="28"/>
                <w:u w:val="single"/>
                <w:lang w:bidi="en-US"/>
              </w:rPr>
              <w:t>23</w:t>
            </w:r>
            <w:r w:rsidRPr="00474153">
              <w:rPr>
                <w:rFonts w:ascii="Times New Roman" w:hAnsi="Times New Roman" w:cs="Times New Roman"/>
                <w:sz w:val="28"/>
                <w:lang w:bidi="en-US"/>
              </w:rPr>
              <w:t>: Is it necessary to check companies listed on the TWSE, TPEX and the Emerging Stock Market for issuance of bearer shares? Is it necessary to check companies that are not listed on the TWSE, TPEX and the Emerging Stock Market for issuance of bearer shares?</w:t>
            </w:r>
          </w:p>
          <w:p w14:paraId="2EA1336A" w14:textId="429EE928" w:rsidR="00647136" w:rsidRPr="00474153" w:rsidRDefault="00647136" w:rsidP="00A56215">
            <w:pPr>
              <w:ind w:left="764" w:hangingChars="273" w:hanging="764"/>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23</w:t>
            </w:r>
            <w:r w:rsidRPr="00474153">
              <w:rPr>
                <w:rFonts w:ascii="Times New Roman" w:hAnsi="Times New Roman" w:cs="Times New Roman"/>
                <w:sz w:val="28"/>
                <w:lang w:bidi="en-US"/>
              </w:rPr>
              <w:t>:</w:t>
            </w:r>
          </w:p>
          <w:p w14:paraId="793E4092" w14:textId="7013BB1F" w:rsidR="00647136" w:rsidRPr="00474153" w:rsidRDefault="00647136" w:rsidP="00A56215">
            <w:pPr>
              <w:pStyle w:val="a4"/>
              <w:numPr>
                <w:ilvl w:val="0"/>
                <w:numId w:val="94"/>
              </w:numPr>
              <w:snapToGrid w:val="0"/>
              <w:spacing w:line="400" w:lineRule="exact"/>
              <w:ind w:leftChars="0" w:left="766" w:hanging="766"/>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 xml:space="preserve">There is no public company (including TWSE, TPEX, and Emerging listed company) in Taiwan found to have bearer shares issued; also, the issuance of bearer shares is prohibited by the Company Act. If the customer is a public company in Taiwan, it is </w:t>
            </w:r>
            <w:r w:rsidRPr="00474153">
              <w:rPr>
                <w:rFonts w:ascii="Times New Roman" w:hAnsi="Times New Roman"/>
                <w:color w:val="FF0000"/>
                <w:sz w:val="28"/>
                <w:u w:val="single"/>
                <w:lang w:bidi="en-US"/>
              </w:rPr>
              <w:lastRenderedPageBreak/>
              <w:t>not necessary to confirm whether or not it has issued bearer shares or not.</w:t>
            </w:r>
          </w:p>
          <w:p w14:paraId="644023C9" w14:textId="04F0F497" w:rsidR="00647136" w:rsidRPr="00474153" w:rsidRDefault="00647136" w:rsidP="00A56215">
            <w:pPr>
              <w:pStyle w:val="a4"/>
              <w:numPr>
                <w:ilvl w:val="0"/>
                <w:numId w:val="94"/>
              </w:numPr>
              <w:snapToGrid w:val="0"/>
              <w:spacing w:line="400" w:lineRule="exact"/>
              <w:ind w:leftChars="0" w:left="766" w:hanging="766"/>
              <w:jc w:val="both"/>
              <w:rPr>
                <w:rFonts w:ascii="Times New Roman" w:eastAsia="標楷體" w:hAnsi="Times New Roman"/>
                <w:sz w:val="28"/>
                <w:szCs w:val="28"/>
              </w:rPr>
            </w:pPr>
            <w:r w:rsidRPr="00474153">
              <w:rPr>
                <w:rFonts w:ascii="Times New Roman" w:hAnsi="Times New Roman"/>
                <w:color w:val="FF0000"/>
                <w:sz w:val="28"/>
                <w:u w:val="single"/>
                <w:lang w:bidi="en-US"/>
              </w:rPr>
              <w:t>As for foreign public companies (including those companies in the listed/OTC market and Emerging market), due to the different laws and regulations of each country, it is necessary to confirm whether they have issued bearer shares or not.</w:t>
            </w:r>
          </w:p>
        </w:tc>
        <w:tc>
          <w:tcPr>
            <w:tcW w:w="8335" w:type="dxa"/>
            <w:shd w:val="clear" w:color="auto" w:fill="auto"/>
          </w:tcPr>
          <w:p w14:paraId="0BA9D4E0" w14:textId="77777777" w:rsidR="00647136" w:rsidRPr="00474153" w:rsidRDefault="00647136" w:rsidP="00A56215">
            <w:pPr>
              <w:pStyle w:val="a4"/>
              <w:snapToGrid w:val="0"/>
              <w:spacing w:line="400" w:lineRule="exact"/>
              <w:ind w:leftChars="6" w:left="792" w:hangingChars="278" w:hanging="778"/>
              <w:jc w:val="both"/>
              <w:rPr>
                <w:rFonts w:ascii="Times New Roman" w:eastAsia="標楷體" w:hAnsi="Times New Roman"/>
                <w:bCs/>
                <w:caps/>
                <w:color w:val="FF0000"/>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28</w:t>
            </w:r>
            <w:r w:rsidRPr="00474153">
              <w:rPr>
                <w:rFonts w:ascii="Times New Roman" w:hAnsi="Times New Roman"/>
                <w:color w:val="FF0000"/>
                <w:sz w:val="28"/>
                <w:lang w:bidi="en-US"/>
              </w:rPr>
              <w:t>:</w:t>
            </w:r>
            <w:r w:rsidRPr="00474153">
              <w:rPr>
                <w:rFonts w:ascii="Times New Roman" w:hAnsi="Times New Roman"/>
                <w:sz w:val="28"/>
                <w:lang w:bidi="en-US"/>
              </w:rPr>
              <w:t xml:space="preserve"> Is it necessary to check companies that are listed on the TWSE, TPEX and the Emerging Stock Market for issuance of bearer shares? Is it necessary to check companies that are not listed on the TWSE, TPEX and the Emerging Stock Market for issuance of bearer shares?</w:t>
            </w:r>
          </w:p>
          <w:p w14:paraId="0D585CB6" w14:textId="77777777" w:rsidR="00647136" w:rsidRPr="00474153" w:rsidRDefault="00647136">
            <w:pPr>
              <w:ind w:left="580" w:hangingChars="207" w:hanging="580"/>
              <w:jc w:val="both"/>
              <w:rPr>
                <w:rFonts w:ascii="Times New Roman" w:eastAsia="標楷體" w:hAnsi="Times New Roman" w:cs="Times New Roman"/>
                <w:color w:val="FF0000"/>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28</w:t>
            </w:r>
            <w:r w:rsidRPr="00474153">
              <w:rPr>
                <w:rFonts w:ascii="Times New Roman" w:hAnsi="Times New Roman" w:cs="Times New Roman"/>
                <w:color w:val="FF0000"/>
                <w:sz w:val="28"/>
                <w:lang w:bidi="en-US"/>
              </w:rPr>
              <w:t>:</w:t>
            </w:r>
          </w:p>
          <w:p w14:paraId="11E96299" w14:textId="77777777" w:rsidR="00647136" w:rsidRPr="00474153" w:rsidRDefault="00647136">
            <w:pPr>
              <w:jc w:val="both"/>
              <w:rPr>
                <w:rFonts w:ascii="Times New Roman" w:eastAsia="標楷體" w:hAnsi="Times New Roman" w:cs="Times New Roman"/>
                <w:sz w:val="28"/>
                <w:szCs w:val="28"/>
                <w:u w:val="single"/>
              </w:rPr>
            </w:pPr>
            <w:r w:rsidRPr="00474153">
              <w:rPr>
                <w:rFonts w:ascii="Times New Roman" w:hAnsi="Times New Roman" w:cs="Times New Roman"/>
                <w:color w:val="FF0000"/>
                <w:sz w:val="28"/>
                <w:u w:val="single"/>
                <w:lang w:bidi="en-US"/>
              </w:rPr>
              <w:t xml:space="preserve">Subparagraph 12, Article 4 of the Model Guidelines states that, “If the customer is a corporate entity, banks shall investigate whether or not the customer is entitled to issue bearer shares by reviewing the Articles of Incorporation or having the customer issue a declaration. For customers </w:t>
            </w:r>
            <w:r w:rsidRPr="00474153">
              <w:rPr>
                <w:rFonts w:ascii="Times New Roman" w:hAnsi="Times New Roman" w:cs="Times New Roman"/>
                <w:color w:val="FF0000"/>
                <w:sz w:val="28"/>
                <w:u w:val="single"/>
                <w:lang w:bidi="en-US"/>
              </w:rPr>
              <w:lastRenderedPageBreak/>
              <w:t>who have issued bearer shares, banks shall adopt one of the following measures to ensure that the beneficial owners’ identities are updated.” This requirement does not exclude companies that are listed on the TWSE, TPEX or the Emerging Stock Market. Furthermore, Item 3, Subparagraph 7 of the same Article states that, “Customers or controllers of the following identity are exempted from the identification and verification of beneficial owners’ identity outlined in Item 3, Subparagraph 3, except for the circumstances listed in Subparagraph 3, Paragraph 1, Article 6 or companies that have issued bearer shares.” The notion of “the following identity” includes “local public companies or subsidiaries thereof.” Companies listed on the TWSE, TPEX or the Emerging Stock Market are all considered “local public companies.” Those that issue bearer shares still need to have beneficial owners identified according to Item 3, Subparagraph 3, Article 4 of the Model Guidelines and updated according to Subparagraph 12.</w:t>
            </w:r>
          </w:p>
        </w:tc>
        <w:tc>
          <w:tcPr>
            <w:tcW w:w="4645" w:type="dxa"/>
            <w:shd w:val="clear" w:color="auto" w:fill="auto"/>
          </w:tcPr>
          <w:p w14:paraId="41784F10" w14:textId="77777777" w:rsidR="00EA5600" w:rsidRPr="00474153" w:rsidRDefault="00EA5600" w:rsidP="00A56215">
            <w:pPr>
              <w:pStyle w:val="a4"/>
              <w:numPr>
                <w:ilvl w:val="0"/>
                <w:numId w:val="121"/>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5F766F75" w14:textId="3562BB76" w:rsidR="00647136" w:rsidRPr="00474153" w:rsidRDefault="00EA5600" w:rsidP="00A56215">
            <w:pPr>
              <w:pStyle w:val="a4"/>
              <w:numPr>
                <w:ilvl w:val="0"/>
                <w:numId w:val="121"/>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Refer to the Q&amp;A (Q14 and Q15) amended reply explanation for AML/CTF of financing lease business</w:t>
            </w:r>
          </w:p>
        </w:tc>
      </w:tr>
      <w:tr w:rsidR="00647136" w:rsidRPr="00474153" w14:paraId="5F01BACF" w14:textId="77777777" w:rsidTr="00E419A6">
        <w:tc>
          <w:tcPr>
            <w:tcW w:w="510" w:type="dxa"/>
            <w:shd w:val="clear" w:color="auto" w:fill="auto"/>
          </w:tcPr>
          <w:p w14:paraId="2E602E78"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29</w:t>
            </w:r>
          </w:p>
        </w:tc>
        <w:tc>
          <w:tcPr>
            <w:tcW w:w="8335" w:type="dxa"/>
            <w:shd w:val="clear" w:color="auto" w:fill="auto"/>
          </w:tcPr>
          <w:p w14:paraId="3AE36DE9" w14:textId="5631F0AD"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24</w:t>
            </w:r>
            <w:r w:rsidRPr="00474153">
              <w:rPr>
                <w:rFonts w:ascii="Times New Roman" w:hAnsi="Times New Roman"/>
                <w:sz w:val="28"/>
                <w:lang w:bidi="en-US"/>
              </w:rPr>
              <w:t xml:space="preserve">: When verifying the trustees of corporate entities, NPOs or trusts with documents as stated in Sub-item 2, Item 1, Subparagraph 8, Article 4 of the Model Guidelines, it is necessary to obtain the company’s CERTIFIED ARTICLES OF INCORPORATION, a business license issued by the government, PARTNERSHIP AGREEMENT, TRUST INSTRUMENT, </w:t>
            </w:r>
            <w:r w:rsidR="00000609">
              <w:rPr>
                <w:rFonts w:ascii="Times New Roman" w:hAnsi="Times New Roman"/>
                <w:sz w:val="28"/>
                <w:lang w:bidi="en-US"/>
              </w:rPr>
              <w:t>CERTIFICATION OF GOOD STANDING</w:t>
            </w:r>
            <w:r w:rsidRPr="00474153">
              <w:rPr>
                <w:rFonts w:ascii="Times New Roman" w:hAnsi="Times New Roman"/>
                <w:sz w:val="28"/>
                <w:lang w:bidi="en-US"/>
              </w:rPr>
              <w:t>, etc. Under which circumstances is the “</w:t>
            </w:r>
            <w:r w:rsidR="00000609">
              <w:rPr>
                <w:rFonts w:ascii="Times New Roman" w:hAnsi="Times New Roman"/>
                <w:sz w:val="28"/>
                <w:lang w:bidi="en-US"/>
              </w:rPr>
              <w:t>Certification of Good Standing</w:t>
            </w:r>
            <w:r w:rsidRPr="00474153">
              <w:rPr>
                <w:rFonts w:ascii="Times New Roman" w:hAnsi="Times New Roman"/>
                <w:sz w:val="28"/>
                <w:lang w:bidi="en-US"/>
              </w:rPr>
              <w:t>” required? For example: if the customer is a financial institution governed by local or foreign authority or a listed company (or subsidiary thereof), are banks still required to obtain “</w:t>
            </w:r>
            <w:r w:rsidR="00000609">
              <w:rPr>
                <w:rFonts w:ascii="Times New Roman" w:hAnsi="Times New Roman"/>
                <w:sz w:val="28"/>
                <w:lang w:bidi="en-US"/>
              </w:rPr>
              <w:t>Certification of Good Standing</w:t>
            </w:r>
            <w:r w:rsidRPr="00474153">
              <w:rPr>
                <w:rFonts w:ascii="Times New Roman" w:hAnsi="Times New Roman"/>
                <w:sz w:val="28"/>
                <w:lang w:bidi="en-US"/>
              </w:rPr>
              <w:t>” when the Certified Articles of Incorporation and business license are already available?</w:t>
            </w:r>
          </w:p>
          <w:p w14:paraId="41FC65F3" w14:textId="518D2638"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24</w:t>
            </w:r>
            <w:r w:rsidRPr="00474153">
              <w:rPr>
                <w:rFonts w:ascii="Times New Roman" w:hAnsi="Times New Roman" w:cs="Times New Roman"/>
                <w:sz w:val="28"/>
                <w:lang w:bidi="en-US"/>
              </w:rPr>
              <w:t>:</w:t>
            </w:r>
          </w:p>
          <w:p w14:paraId="0AE0011C" w14:textId="7B6EC9D9" w:rsidR="00647136" w:rsidRPr="00474153" w:rsidRDefault="00000609">
            <w:pPr>
              <w:jc w:val="both"/>
              <w:rPr>
                <w:rFonts w:ascii="Times New Roman" w:eastAsia="標楷體" w:hAnsi="Times New Roman" w:cs="Times New Roman"/>
                <w:sz w:val="28"/>
                <w:szCs w:val="28"/>
              </w:rPr>
            </w:pPr>
            <w:r>
              <w:rPr>
                <w:rFonts w:ascii="Times New Roman" w:hAnsi="Times New Roman" w:cs="Times New Roman"/>
                <w:sz w:val="28"/>
                <w:lang w:bidi="en-US"/>
              </w:rPr>
              <w:t>Certification of Good Standing</w:t>
            </w:r>
            <w:r w:rsidR="00647136" w:rsidRPr="00474153">
              <w:rPr>
                <w:rFonts w:ascii="Times New Roman" w:hAnsi="Times New Roman" w:cs="Times New Roman"/>
                <w:sz w:val="28"/>
                <w:lang w:bidi="en-US"/>
              </w:rPr>
              <w:t xml:space="preserve"> refers to any document, data or information that a bank acquires through reliable and independent sources to ensure that the corporate entity or NPO has not been dismissed, liquidated or terminated. However, after having obtained the Certified </w:t>
            </w:r>
            <w:r w:rsidR="00647136" w:rsidRPr="00474153">
              <w:rPr>
                <w:rFonts w:ascii="Times New Roman" w:hAnsi="Times New Roman" w:cs="Times New Roman"/>
                <w:sz w:val="28"/>
                <w:lang w:bidi="en-US"/>
              </w:rPr>
              <w:lastRenderedPageBreak/>
              <w:t xml:space="preserve">Articles of Incorporation and business license does not mean that the corporate entity or NPO still exists, therefore banks are still required to verify the customers’ existence by obtaining documents, data or information through reliable and independent sources. If the customer is a financial institution or listed company (or subsidiary thereof) supervised by a local or foreign authority, whose existence can be verified through non-documentary information, banks may forego the acquisition of the </w:t>
            </w:r>
            <w:r>
              <w:rPr>
                <w:rFonts w:ascii="Times New Roman" w:hAnsi="Times New Roman" w:cs="Times New Roman"/>
                <w:sz w:val="28"/>
                <w:lang w:bidi="en-US"/>
              </w:rPr>
              <w:t>Certification of Good Standing</w:t>
            </w:r>
            <w:r w:rsidR="00647136" w:rsidRPr="00474153">
              <w:rPr>
                <w:rFonts w:ascii="Times New Roman" w:hAnsi="Times New Roman" w:cs="Times New Roman"/>
                <w:sz w:val="28"/>
                <w:lang w:bidi="en-US"/>
              </w:rPr>
              <w:t xml:space="preserve"> in document form.</w:t>
            </w:r>
          </w:p>
        </w:tc>
        <w:tc>
          <w:tcPr>
            <w:tcW w:w="8335" w:type="dxa"/>
            <w:shd w:val="clear" w:color="auto" w:fill="auto"/>
          </w:tcPr>
          <w:p w14:paraId="4E973CE1" w14:textId="69A0CDAD"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29</w:t>
            </w:r>
            <w:r w:rsidRPr="00474153">
              <w:rPr>
                <w:rFonts w:ascii="Times New Roman" w:hAnsi="Times New Roman"/>
                <w:sz w:val="28"/>
                <w:lang w:bidi="en-US"/>
              </w:rPr>
              <w:t xml:space="preserve">: When verifying the trustees of corporate entities, NPOs or trusts with documents as stated in Sub-item 2, Item 1, Subparagraph 8, Article 4 of the Model Guidelines, it is necessary to obtain the company’s CERTIFIED ARTICLES OF INCORPORATION, a business license issued by the government, PARTNERSHIP AGREEMENT, TRUST INSTRUMENT, </w:t>
            </w:r>
            <w:r w:rsidR="00000609">
              <w:rPr>
                <w:rFonts w:ascii="Times New Roman" w:hAnsi="Times New Roman"/>
                <w:sz w:val="28"/>
                <w:lang w:bidi="en-US"/>
              </w:rPr>
              <w:t>CERTIFICATION OF GOOD STANDING</w:t>
            </w:r>
            <w:r w:rsidRPr="00474153">
              <w:rPr>
                <w:rFonts w:ascii="Times New Roman" w:hAnsi="Times New Roman"/>
                <w:sz w:val="28"/>
                <w:lang w:bidi="en-US"/>
              </w:rPr>
              <w:t>, etc. Under which circumstances is the “</w:t>
            </w:r>
            <w:r w:rsidR="00000609">
              <w:rPr>
                <w:rFonts w:ascii="Times New Roman" w:hAnsi="Times New Roman"/>
                <w:sz w:val="28"/>
                <w:lang w:bidi="en-US"/>
              </w:rPr>
              <w:t>Certification of Good Standing</w:t>
            </w:r>
            <w:r w:rsidRPr="00474153">
              <w:rPr>
                <w:rFonts w:ascii="Times New Roman" w:hAnsi="Times New Roman"/>
                <w:sz w:val="28"/>
                <w:lang w:bidi="en-US"/>
              </w:rPr>
              <w:t>” required? For example: if the customer is a financial institution governed by local or foreign authority or a listed company (or subsidiary thereof), are banks still required to obtain “</w:t>
            </w:r>
            <w:r w:rsidR="00000609">
              <w:rPr>
                <w:rFonts w:ascii="Times New Roman" w:hAnsi="Times New Roman"/>
                <w:sz w:val="28"/>
                <w:lang w:bidi="en-US"/>
              </w:rPr>
              <w:t>Certification of Good Standing</w:t>
            </w:r>
            <w:r w:rsidRPr="00474153">
              <w:rPr>
                <w:rFonts w:ascii="Times New Roman" w:hAnsi="Times New Roman"/>
                <w:sz w:val="28"/>
                <w:lang w:bidi="en-US"/>
              </w:rPr>
              <w:t>” when the Certified Articles of Incorporation and business license are already available?</w:t>
            </w:r>
          </w:p>
          <w:p w14:paraId="1B0755F0"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29</w:t>
            </w:r>
            <w:r w:rsidRPr="00474153">
              <w:rPr>
                <w:rFonts w:ascii="Times New Roman" w:hAnsi="Times New Roman" w:cs="Times New Roman"/>
                <w:sz w:val="28"/>
                <w:lang w:bidi="en-US"/>
              </w:rPr>
              <w:t>:</w:t>
            </w:r>
          </w:p>
          <w:p w14:paraId="037895A2" w14:textId="2E137FCF" w:rsidR="00647136" w:rsidRPr="00474153" w:rsidRDefault="00000609">
            <w:pPr>
              <w:jc w:val="both"/>
              <w:rPr>
                <w:rFonts w:ascii="Times New Roman" w:eastAsia="標楷體" w:hAnsi="Times New Roman" w:cs="Times New Roman"/>
                <w:sz w:val="28"/>
                <w:szCs w:val="28"/>
              </w:rPr>
            </w:pPr>
            <w:r>
              <w:rPr>
                <w:rFonts w:ascii="Times New Roman" w:hAnsi="Times New Roman" w:cs="Times New Roman"/>
                <w:sz w:val="28"/>
                <w:lang w:bidi="en-US"/>
              </w:rPr>
              <w:t>Certification of Good Standing</w:t>
            </w:r>
            <w:r w:rsidR="00647136" w:rsidRPr="00474153">
              <w:rPr>
                <w:rFonts w:ascii="Times New Roman" w:hAnsi="Times New Roman" w:cs="Times New Roman"/>
                <w:sz w:val="28"/>
                <w:lang w:bidi="en-US"/>
              </w:rPr>
              <w:t xml:space="preserve"> refers to any document, data or information that a bank acquires through reliable and independent sources to ensure that the corporate entity or NPO has not been dismissed, liquidated or terminated. However, after having obtained the Certified </w:t>
            </w:r>
            <w:r w:rsidR="00647136" w:rsidRPr="00474153">
              <w:rPr>
                <w:rFonts w:ascii="Times New Roman" w:hAnsi="Times New Roman" w:cs="Times New Roman"/>
                <w:sz w:val="28"/>
                <w:lang w:bidi="en-US"/>
              </w:rPr>
              <w:lastRenderedPageBreak/>
              <w:t xml:space="preserve">Articles of Incorporation and business license does not mean that the corporate entity or NPO still exists, therefore banks are still required to verify the customers’ existence by obtaining documents, data or information through reliable and independent sources. If the customer is a financial institution or listed company (or subsidiary thereof) supervised by a local or foreign authority, whose existence can be verified through non-documentary information, banks may forego the acquisition of the </w:t>
            </w:r>
            <w:r>
              <w:rPr>
                <w:rFonts w:ascii="Times New Roman" w:hAnsi="Times New Roman" w:cs="Times New Roman"/>
                <w:sz w:val="28"/>
                <w:lang w:bidi="en-US"/>
              </w:rPr>
              <w:t>Certification of Good Standing</w:t>
            </w:r>
            <w:r w:rsidR="00647136" w:rsidRPr="00474153">
              <w:rPr>
                <w:rFonts w:ascii="Times New Roman" w:hAnsi="Times New Roman" w:cs="Times New Roman"/>
                <w:sz w:val="28"/>
                <w:lang w:bidi="en-US"/>
              </w:rPr>
              <w:t xml:space="preserve"> in document form.</w:t>
            </w:r>
          </w:p>
        </w:tc>
        <w:tc>
          <w:tcPr>
            <w:tcW w:w="4645" w:type="dxa"/>
            <w:shd w:val="clear" w:color="auto" w:fill="auto"/>
          </w:tcPr>
          <w:p w14:paraId="4411193B"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0426D053" w14:textId="77777777" w:rsidTr="00E419A6">
        <w:tc>
          <w:tcPr>
            <w:tcW w:w="510" w:type="dxa"/>
            <w:shd w:val="clear" w:color="auto" w:fill="auto"/>
          </w:tcPr>
          <w:p w14:paraId="606870E3"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30</w:t>
            </w:r>
          </w:p>
        </w:tc>
        <w:tc>
          <w:tcPr>
            <w:tcW w:w="8335" w:type="dxa"/>
            <w:shd w:val="clear" w:color="auto" w:fill="auto"/>
          </w:tcPr>
          <w:p w14:paraId="21BF9E91" w14:textId="2F0005BE"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25</w:t>
            </w:r>
            <w:r w:rsidRPr="00474153">
              <w:rPr>
                <w:rFonts w:ascii="Times New Roman" w:hAnsi="Times New Roman"/>
                <w:sz w:val="28"/>
                <w:lang w:bidi="en-US"/>
              </w:rPr>
              <w:t>: Sub-item 2, Item 2, Subparagraph 6, Article 4 of the Model Guidelines states that “for NPO customer that has been confirmed without the Articles of Incorporation or similar document stipulated…” what is the “confirmation method” it referred to?</w:t>
            </w:r>
          </w:p>
          <w:p w14:paraId="4F32DBF2" w14:textId="2EE903DF"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25</w:t>
            </w:r>
            <w:r w:rsidRPr="00474153">
              <w:rPr>
                <w:rFonts w:ascii="Times New Roman" w:hAnsi="Times New Roman" w:cs="Times New Roman"/>
                <w:sz w:val="28"/>
                <w:lang w:bidi="en-US"/>
              </w:rPr>
              <w:t>:</w:t>
            </w:r>
          </w:p>
          <w:p w14:paraId="6D2CA063"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Subparagraph 6, Article 4 of the Model Guidelines states that “When a customer is a trustee of a corporate entity, NPO, or trust, it is necessary to understand the business nature of the customer or trust (including legal agreements similar to trusts), and obtain at least the following information from the customer or trust to identify and </w:t>
            </w:r>
            <w:r w:rsidRPr="00474153">
              <w:rPr>
                <w:rFonts w:ascii="Times New Roman" w:hAnsi="Times New Roman" w:cs="Times New Roman"/>
                <w:sz w:val="28"/>
                <w:em w:val="comma"/>
                <w:lang w:bidi="en-US"/>
              </w:rPr>
              <w:t>verify</w:t>
            </w:r>
            <w:r w:rsidRPr="00474153">
              <w:rPr>
                <w:rFonts w:ascii="Times New Roman" w:hAnsi="Times New Roman" w:cs="Times New Roman"/>
                <w:sz w:val="28"/>
                <w:lang w:bidi="en-US"/>
              </w:rPr>
              <w:t xml:space="preserve"> customer identity.” The purpose of acquiring the Articles of Incorporation or similar documents is to identify and verify the customer’s identity. The term “confirm” mentioned in Sub-item 2, Item 2, Subparagraph 6, Article 4 means checking the credibility of information provided by the customers and therefore may proceed in the manner described in Item 2, Subparagraph 8 - “Verification of non-documentary information.”</w:t>
            </w:r>
          </w:p>
        </w:tc>
        <w:tc>
          <w:tcPr>
            <w:tcW w:w="8335" w:type="dxa"/>
            <w:shd w:val="clear" w:color="auto" w:fill="auto"/>
          </w:tcPr>
          <w:p w14:paraId="6411EF1F"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30</w:t>
            </w:r>
            <w:r w:rsidRPr="00474153">
              <w:rPr>
                <w:rFonts w:ascii="Times New Roman" w:hAnsi="Times New Roman"/>
                <w:sz w:val="28"/>
                <w:lang w:bidi="en-US"/>
              </w:rPr>
              <w:t>: Sub-item 2, Item 2, Subparagraph 6, Article 4 of the Model Guidelines states that “for NPO customer that has been confirmed without the Articles of Incorporation or similar document stipulated…” what is the “confirmation method” it referred to?</w:t>
            </w:r>
          </w:p>
          <w:p w14:paraId="1F0F6D87"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30</w:t>
            </w:r>
            <w:r w:rsidRPr="00474153">
              <w:rPr>
                <w:rFonts w:ascii="Times New Roman" w:hAnsi="Times New Roman" w:cs="Times New Roman"/>
                <w:sz w:val="28"/>
                <w:lang w:bidi="en-US"/>
              </w:rPr>
              <w:t>:</w:t>
            </w:r>
          </w:p>
          <w:p w14:paraId="2DE991C9"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Subparagraph 6, Article 4 of the Model Guidelines states that “When a customer is a trustee of a corporate entity, NPO, or trust, it is necessary to understand the business nature of the customer or trust (including legal agreements similar to trusts), and obtain at least the following information from the customer or trust to identify and </w:t>
            </w:r>
            <w:r w:rsidRPr="00474153">
              <w:rPr>
                <w:rFonts w:ascii="Times New Roman" w:hAnsi="Times New Roman" w:cs="Times New Roman"/>
                <w:sz w:val="28"/>
                <w:em w:val="comma"/>
                <w:lang w:bidi="en-US"/>
              </w:rPr>
              <w:t>verify</w:t>
            </w:r>
            <w:r w:rsidRPr="00474153">
              <w:rPr>
                <w:rFonts w:ascii="Times New Roman" w:hAnsi="Times New Roman" w:cs="Times New Roman"/>
                <w:sz w:val="28"/>
                <w:lang w:bidi="en-US"/>
              </w:rPr>
              <w:t xml:space="preserve"> customer identity.” The purpose of acquiring the Articles of Incorporation or similar documents is to identify and verify the customer’s identity. The term “confirm” mentioned in Sub-item 2, Item 2, Subparagraph 6, Article 4 means checking the credibility of information provided by the customers and therefore may proceed in the manner described in Item 2, Subparagraph 8 - “Verification of non-documentary information.”</w:t>
            </w:r>
          </w:p>
        </w:tc>
        <w:tc>
          <w:tcPr>
            <w:tcW w:w="4645" w:type="dxa"/>
            <w:shd w:val="clear" w:color="auto" w:fill="auto"/>
          </w:tcPr>
          <w:p w14:paraId="748A9945"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57255C91" w14:textId="77777777" w:rsidTr="00E419A6">
        <w:tc>
          <w:tcPr>
            <w:tcW w:w="510" w:type="dxa"/>
            <w:shd w:val="clear" w:color="auto" w:fill="auto"/>
          </w:tcPr>
          <w:p w14:paraId="6012B520"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31</w:t>
            </w:r>
          </w:p>
        </w:tc>
        <w:tc>
          <w:tcPr>
            <w:tcW w:w="8335" w:type="dxa"/>
            <w:shd w:val="clear" w:color="auto" w:fill="auto"/>
          </w:tcPr>
          <w:p w14:paraId="48BB7693" w14:textId="3C463E2E"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26</w:t>
            </w:r>
            <w:r w:rsidRPr="00474153">
              <w:rPr>
                <w:rFonts w:ascii="Times New Roman" w:hAnsi="Times New Roman"/>
                <w:sz w:val="28"/>
                <w:lang w:bidi="en-US"/>
              </w:rPr>
              <w:t>: Regarding the account opening review documents, it is subject to the provisions of the “Regulations Governing the Deposit Accounts and Suspicious or Unusual Transactions” after the relevant clauses of the Model Guidelines are deleted. Are the board meeting minutes and financial report mandatory?</w:t>
            </w:r>
          </w:p>
          <w:p w14:paraId="5AC0B919" w14:textId="6DCC3F14"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26</w:t>
            </w:r>
            <w:r w:rsidRPr="00474153">
              <w:rPr>
                <w:rFonts w:ascii="Times New Roman" w:hAnsi="Times New Roman" w:cs="Times New Roman"/>
                <w:sz w:val="28"/>
                <w:lang w:bidi="en-US"/>
              </w:rPr>
              <w:t>:</w:t>
            </w:r>
          </w:p>
          <w:p w14:paraId="2E89C9CD"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Please refer to Letter No. Jin-Guan-Yin-Fa-Zi No. 10400077630 dated May 8, 2015, the over-the-counter DBU account opening section in Subparagraph 1, Paragraph 1, Article 13 of Regulations Governing the </w:t>
            </w:r>
            <w:r w:rsidRPr="00474153">
              <w:rPr>
                <w:rFonts w:ascii="Times New Roman" w:hAnsi="Times New Roman" w:cs="Times New Roman"/>
                <w:sz w:val="28"/>
                <w:lang w:bidi="en-US"/>
              </w:rPr>
              <w:lastRenderedPageBreak/>
              <w:t>Deposit Accounts and Suspicious or Unusual Transactions and the “Rules Governing Offshore Banking Branches” amended under Letter No. Jin-Guan-Yin-Wai-10650001370 dated May 22, 2017 for clarifications on the use of dual identity documents.</w:t>
            </w:r>
          </w:p>
        </w:tc>
        <w:tc>
          <w:tcPr>
            <w:tcW w:w="8335" w:type="dxa"/>
            <w:shd w:val="clear" w:color="auto" w:fill="auto"/>
          </w:tcPr>
          <w:p w14:paraId="770F8F84"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31</w:t>
            </w:r>
            <w:r w:rsidRPr="00474153">
              <w:rPr>
                <w:rFonts w:ascii="Times New Roman" w:hAnsi="Times New Roman"/>
                <w:sz w:val="28"/>
                <w:lang w:bidi="en-US"/>
              </w:rPr>
              <w:t>: Regarding the account opening review documents, it is subject to the provisions of the “Regulations Governing the Deposit Accounts and Suspicious or Unusual Transactions” after the relevant clauses of the Model Guidelines are deleted. Are the board meeting minutes and financial report mandatory?</w:t>
            </w:r>
          </w:p>
          <w:p w14:paraId="2B01B730"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31</w:t>
            </w:r>
            <w:r w:rsidRPr="00474153">
              <w:rPr>
                <w:rFonts w:ascii="Times New Roman" w:hAnsi="Times New Roman" w:cs="Times New Roman"/>
                <w:sz w:val="28"/>
                <w:lang w:bidi="en-US"/>
              </w:rPr>
              <w:t>:</w:t>
            </w:r>
          </w:p>
          <w:p w14:paraId="7BDD6634"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Please refer to Letter No. Jin-Guan-Yin-Fa-Zi No. 10400077630 dated May 8, 2015, the over-the-counter DBU account opening section in Subparagraph 1, Paragraph 1, Article 13 of Regulations Governing the </w:t>
            </w:r>
            <w:r w:rsidRPr="00474153">
              <w:rPr>
                <w:rFonts w:ascii="Times New Roman" w:hAnsi="Times New Roman" w:cs="Times New Roman"/>
                <w:sz w:val="28"/>
                <w:lang w:bidi="en-US"/>
              </w:rPr>
              <w:lastRenderedPageBreak/>
              <w:t>Deposit Accounts and Suspicious or Unusual Transactions and the “Rules Governing Offshore Banking Branches” amended under Letter No. Jin-Guan-Yin-Wai-10650001370 dated May 22, 2017 for clarifications on the use of dual identity documents.</w:t>
            </w:r>
          </w:p>
        </w:tc>
        <w:tc>
          <w:tcPr>
            <w:tcW w:w="4645" w:type="dxa"/>
            <w:shd w:val="clear" w:color="auto" w:fill="auto"/>
          </w:tcPr>
          <w:p w14:paraId="77A6DAD0" w14:textId="77777777" w:rsidR="00647136" w:rsidRPr="00474153" w:rsidRDefault="0064713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1296A903" w14:textId="77777777" w:rsidTr="00E419A6">
        <w:tc>
          <w:tcPr>
            <w:tcW w:w="510" w:type="dxa"/>
            <w:shd w:val="clear" w:color="auto" w:fill="auto"/>
          </w:tcPr>
          <w:p w14:paraId="4F5CFC05"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32</w:t>
            </w:r>
          </w:p>
        </w:tc>
        <w:tc>
          <w:tcPr>
            <w:tcW w:w="8335" w:type="dxa"/>
            <w:shd w:val="clear" w:color="auto" w:fill="auto"/>
          </w:tcPr>
          <w:p w14:paraId="3D3D2163" w14:textId="4F9CD056"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Pr="00474153">
              <w:rPr>
                <w:rFonts w:ascii="Times New Roman" w:hAnsi="Times New Roman" w:cs="Times New Roman"/>
                <w:color w:val="FF0000"/>
                <w:sz w:val="28"/>
                <w:u w:val="single"/>
                <w:lang w:bidi="en-US"/>
              </w:rPr>
              <w:t>27</w:t>
            </w:r>
            <w:r w:rsidRPr="00474153">
              <w:rPr>
                <w:rFonts w:ascii="Times New Roman" w:hAnsi="Times New Roman" w:cs="Times New Roman"/>
                <w:sz w:val="28"/>
                <w:lang w:bidi="en-US"/>
              </w:rPr>
              <w:t>: Item 4, Subparagraph 3, Article 4 of “Model Guidelines Governing Anti-Money Laundering and Combating the Financing of Terrorism by the Banking Sector” states that the measures to confirm customer identity should include understanding the purpose and nature of the business relationship and obtaining applicable and relevant information. How to distinguish “relevant information” and “applicable circumstances?”</w:t>
            </w:r>
          </w:p>
          <w:p w14:paraId="6D369712" w14:textId="4DF146A3"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27</w:t>
            </w:r>
            <w:r w:rsidRPr="00474153">
              <w:rPr>
                <w:rFonts w:ascii="Times New Roman" w:hAnsi="Times New Roman" w:cs="Times New Roman"/>
                <w:sz w:val="28"/>
                <w:lang w:bidi="en-US"/>
              </w:rPr>
              <w:t>:</w:t>
            </w:r>
          </w:p>
          <w:p w14:paraId="624E9203" w14:textId="080FE9C1"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In addition to the mandatory information listed in the Model Guidelines, banks may adopt a risk-based approach to decide whether or not to ask customers for more supporting proof on a case-by-case basis. For example, banks may consider asking customers for an employment contract if they are looking to open salary accounts; or in cases where customers state insurance payment as the source of capital, banks may consider checking the insurance policy or details of the benefit payment. The Model Guidelines cannot provide an exhaustive list of possible scenarios, therefore it is up to the banks themselves to implement appropriate practices for different circumstances.</w:t>
            </w:r>
          </w:p>
        </w:tc>
        <w:tc>
          <w:tcPr>
            <w:tcW w:w="8335" w:type="dxa"/>
            <w:shd w:val="clear" w:color="auto" w:fill="auto"/>
          </w:tcPr>
          <w:p w14:paraId="7B445C52" w14:textId="77777777"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Pr="00474153">
              <w:rPr>
                <w:rFonts w:ascii="Times New Roman" w:hAnsi="Times New Roman" w:cs="Times New Roman"/>
                <w:color w:val="FF0000"/>
                <w:sz w:val="28"/>
                <w:u w:val="single"/>
                <w:lang w:bidi="en-US"/>
              </w:rPr>
              <w:t>32</w:t>
            </w:r>
            <w:r w:rsidRPr="00474153">
              <w:rPr>
                <w:rFonts w:ascii="Times New Roman" w:hAnsi="Times New Roman" w:cs="Times New Roman"/>
                <w:sz w:val="28"/>
                <w:lang w:bidi="en-US"/>
              </w:rPr>
              <w:t xml:space="preserve">: Item 4, Subparagraph 3, </w:t>
            </w:r>
            <w:r w:rsidRPr="00474153">
              <w:rPr>
                <w:rFonts w:ascii="Times New Roman" w:hAnsi="Times New Roman" w:cs="Times New Roman"/>
                <w:color w:val="FF0000"/>
                <w:sz w:val="28"/>
                <w:u w:val="single"/>
                <w:lang w:bidi="en-US"/>
              </w:rPr>
              <w:t>Paragraph 1</w:t>
            </w:r>
            <w:r w:rsidRPr="00474153">
              <w:rPr>
                <w:rFonts w:ascii="Times New Roman" w:hAnsi="Times New Roman" w:cs="Times New Roman"/>
                <w:sz w:val="28"/>
                <w:lang w:bidi="en-US"/>
              </w:rPr>
              <w:t>, Article 4 of the “Model Guidelines Governing Anti-Money Laundering and Combating the Financing of Terrorism by the Banking Sector” states that the measures to confirm customer identity should include understanding the purpose and nature of the business relationship and obtaining applicable and relevant information. How to distinguish “relevant information” and “applicable circumstances?”</w:t>
            </w:r>
          </w:p>
          <w:p w14:paraId="0896B0D3" w14:textId="77777777" w:rsidR="00647136" w:rsidRPr="00474153" w:rsidRDefault="00647136">
            <w:pPr>
              <w:ind w:left="720" w:hangingChars="257" w:hanging="72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32</w:t>
            </w:r>
            <w:r w:rsidRPr="00474153">
              <w:rPr>
                <w:rFonts w:ascii="Times New Roman" w:hAnsi="Times New Roman" w:cs="Times New Roman"/>
                <w:sz w:val="28"/>
                <w:lang w:bidi="en-US"/>
              </w:rPr>
              <w:t>:</w:t>
            </w:r>
          </w:p>
          <w:p w14:paraId="180A4C05" w14:textId="65874BDB"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In addition to the mandatory information listed in the Model Guidelines, banks may adopt a risk-based approach to decide whether or not to ask customers for more supporting proof on a case-by-case basis. For example, banks may consider asking customers for an employment contract if they are looking to open salary accounts; or in cases where customers state insurance payment as the source of capital, banks may consider checking the insurance policy or details of the benefit payment. The Model Guidelines cannot provide an exhaustive list of possible scenarios, therefore it is up to the banks themselves to implement appropriate practices for different circumstances.</w:t>
            </w:r>
          </w:p>
        </w:tc>
        <w:tc>
          <w:tcPr>
            <w:tcW w:w="4645" w:type="dxa"/>
            <w:shd w:val="clear" w:color="auto" w:fill="auto"/>
          </w:tcPr>
          <w:p w14:paraId="5E132C96" w14:textId="77777777" w:rsidR="00647136" w:rsidRPr="00474153" w:rsidRDefault="00647136" w:rsidP="00A56215">
            <w:pPr>
              <w:pStyle w:val="a4"/>
              <w:numPr>
                <w:ilvl w:val="0"/>
                <w:numId w:val="122"/>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Question number changed</w:t>
            </w:r>
          </w:p>
          <w:p w14:paraId="20A26F5B" w14:textId="0E3600C5" w:rsidR="00647136" w:rsidRPr="00474153" w:rsidRDefault="00647136" w:rsidP="00A56215">
            <w:pPr>
              <w:pStyle w:val="a4"/>
              <w:numPr>
                <w:ilvl w:val="0"/>
                <w:numId w:val="122"/>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Amend the order of item by referring to the contents Note 2 of Q14.</w:t>
            </w:r>
          </w:p>
        </w:tc>
      </w:tr>
      <w:tr w:rsidR="00647136" w:rsidRPr="00474153" w14:paraId="68978E10" w14:textId="77777777" w:rsidTr="00E419A6">
        <w:tc>
          <w:tcPr>
            <w:tcW w:w="510" w:type="dxa"/>
            <w:shd w:val="clear" w:color="auto" w:fill="auto"/>
          </w:tcPr>
          <w:p w14:paraId="38DE9F59"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33</w:t>
            </w:r>
          </w:p>
        </w:tc>
        <w:tc>
          <w:tcPr>
            <w:tcW w:w="8335" w:type="dxa"/>
            <w:shd w:val="clear" w:color="auto" w:fill="auto"/>
          </w:tcPr>
          <w:p w14:paraId="4F93E934" w14:textId="4AB1DAEB" w:rsidR="00647136" w:rsidRPr="00474153" w:rsidRDefault="00647136" w:rsidP="00A56215">
            <w:pPr>
              <w:pStyle w:val="a4"/>
              <w:snapToGrid w:val="0"/>
              <w:spacing w:line="400" w:lineRule="exact"/>
              <w:ind w:leftChars="1" w:left="705" w:hangingChars="251" w:hanging="703"/>
              <w:jc w:val="both"/>
              <w:rPr>
                <w:rFonts w:ascii="Times New Roman" w:eastAsia="標楷體" w:hAnsi="Times New Roman"/>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28</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 xml:space="preserve">Is the customer’s making bill payment at the bank subject to the regulations of the Money Laundering Control Act? </w:t>
            </w:r>
            <w:r w:rsidRPr="00474153">
              <w:rPr>
                <w:rFonts w:ascii="Times New Roman" w:hAnsi="Times New Roman"/>
                <w:sz w:val="28"/>
                <w:lang w:bidi="en-US"/>
              </w:rPr>
              <w:t xml:space="preserve">If the receivers of </w:t>
            </w:r>
            <w:r w:rsidR="00AC426E" w:rsidRPr="00474153">
              <w:rPr>
                <w:rFonts w:ascii="Times New Roman" w:hAnsi="Times New Roman"/>
                <w:color w:val="FF0000"/>
                <w:sz w:val="28"/>
                <w:u w:val="single"/>
                <w:lang w:bidi="en-US"/>
              </w:rPr>
              <w:t>the bill payments made</w:t>
            </w:r>
            <w:r w:rsidRPr="00474153">
              <w:rPr>
                <w:rFonts w:ascii="Times New Roman" w:hAnsi="Times New Roman"/>
                <w:sz w:val="28"/>
                <w:lang w:bidi="en-US"/>
              </w:rPr>
              <w:t xml:space="preserve"> by the customer have opened an account with the bank or have an entrustment contract signed, is it necessary to regard it as a one-time transaction customer with the identity verification process initiated?</w:t>
            </w:r>
          </w:p>
          <w:p w14:paraId="786661DA" w14:textId="24285665" w:rsidR="00647136" w:rsidRPr="00474153" w:rsidRDefault="00647136" w:rsidP="00A56215">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28</w:t>
            </w:r>
            <w:r w:rsidRPr="00474153">
              <w:rPr>
                <w:rFonts w:ascii="Times New Roman" w:hAnsi="Times New Roman"/>
                <w:sz w:val="28"/>
                <w:lang w:bidi="en-US"/>
              </w:rPr>
              <w:t>:</w:t>
            </w:r>
          </w:p>
          <w:p w14:paraId="0AC4F2F7" w14:textId="3A871F2F" w:rsidR="00647136" w:rsidRPr="00474153" w:rsidRDefault="00647136" w:rsidP="00A56215">
            <w:pPr>
              <w:pStyle w:val="a4"/>
              <w:numPr>
                <w:ilvl w:val="1"/>
                <w:numId w:val="95"/>
              </w:numPr>
              <w:snapToGrid w:val="0"/>
              <w:spacing w:line="400" w:lineRule="exact"/>
              <w:ind w:leftChars="0" w:left="652" w:hanging="652"/>
              <w:jc w:val="both"/>
              <w:rPr>
                <w:rFonts w:ascii="Times New Roman" w:eastAsia="標楷體" w:hAnsi="Times New Roman"/>
                <w:sz w:val="28"/>
                <w:szCs w:val="28"/>
                <w:u w:val="single"/>
              </w:rPr>
            </w:pPr>
            <w:r w:rsidRPr="00474153">
              <w:rPr>
                <w:rFonts w:ascii="Times New Roman" w:hAnsi="Times New Roman"/>
                <w:color w:val="FF0000"/>
                <w:sz w:val="28"/>
                <w:u w:val="single"/>
                <w:lang w:bidi="en-US"/>
              </w:rPr>
              <w:t xml:space="preserve">According to the Letter No. Jin-Guan-Yin-Fa-Zi No. 10802702660 dated January 23, 2019 by the Financial Supervisory Commission that was transferred to the Ministry of Justice on December 19, </w:t>
            </w:r>
            <w:r w:rsidRPr="00474153">
              <w:rPr>
                <w:rFonts w:ascii="Times New Roman" w:hAnsi="Times New Roman"/>
                <w:color w:val="FF0000"/>
                <w:sz w:val="28"/>
                <w:u w:val="single"/>
                <w:lang w:bidi="en-US"/>
              </w:rPr>
              <w:lastRenderedPageBreak/>
              <w:t>2018 to discuss issues related to the “Bank of Taiwan’s handling the collection and payment services of governmental treasuries at all levels subject to the Money Laundering Control Act and the Counter-Terrorism Financing Act” with the minutes of the meeting issued, financial institutions are commissioned by administrative agencies to handle business operations, and if they act as an administrative assistant within the scope of entrustment, they can be excluded from being subject to the Money Laundering Control Act.</w:t>
            </w:r>
          </w:p>
          <w:p w14:paraId="40A9B07E" w14:textId="4F256F9C" w:rsidR="00647136" w:rsidRPr="00474153" w:rsidRDefault="00647136" w:rsidP="00A56215">
            <w:pPr>
              <w:pStyle w:val="a4"/>
              <w:numPr>
                <w:ilvl w:val="1"/>
                <w:numId w:val="95"/>
              </w:numPr>
              <w:snapToGrid w:val="0"/>
              <w:spacing w:line="400" w:lineRule="exact"/>
              <w:ind w:leftChars="0" w:left="652" w:hanging="652"/>
              <w:jc w:val="both"/>
              <w:rPr>
                <w:rFonts w:ascii="Times New Roman" w:eastAsia="標楷體" w:hAnsi="Times New Roman"/>
                <w:sz w:val="28"/>
                <w:szCs w:val="28"/>
              </w:rPr>
            </w:pPr>
            <w:r w:rsidRPr="00474153">
              <w:rPr>
                <w:rFonts w:ascii="Times New Roman" w:hAnsi="Times New Roman"/>
                <w:sz w:val="28"/>
                <w:lang w:bidi="en-US"/>
              </w:rPr>
              <w:t xml:space="preserve">According to Subparagraph 5, Article 3 of the Model Guidelines, one-time transactions refer to the transactions conducted by customers at the banks that they have not yet had a business relation established, including cash remittances, currency exchange and other transactions. Therefore, if a payer </w:t>
            </w:r>
            <w:r w:rsidRPr="00474153">
              <w:rPr>
                <w:rFonts w:ascii="Times New Roman" w:hAnsi="Times New Roman"/>
                <w:color w:val="FF0000"/>
                <w:sz w:val="28"/>
                <w:u w:val="single"/>
                <w:lang w:bidi="en-US"/>
              </w:rPr>
              <w:t>handles the collection and payment of taxes and fees that the government does not commission</w:t>
            </w:r>
            <w:r w:rsidRPr="00474153">
              <w:rPr>
                <w:rFonts w:ascii="Times New Roman" w:hAnsi="Times New Roman"/>
                <w:sz w:val="28"/>
                <w:lang w:bidi="en-US"/>
              </w:rPr>
              <w:t xml:space="preserve"> at a financial institution, and the payment is made to a bank account or an account of the trustor, it is not a one-time transaction.</w:t>
            </w:r>
          </w:p>
        </w:tc>
        <w:tc>
          <w:tcPr>
            <w:tcW w:w="8335" w:type="dxa"/>
            <w:shd w:val="clear" w:color="auto" w:fill="auto"/>
          </w:tcPr>
          <w:p w14:paraId="48E4A58B" w14:textId="77777777" w:rsidR="00647136" w:rsidRPr="00474153" w:rsidRDefault="00647136" w:rsidP="00A56215">
            <w:pPr>
              <w:pStyle w:val="a4"/>
              <w:snapToGrid w:val="0"/>
              <w:spacing w:line="400" w:lineRule="exact"/>
              <w:ind w:leftChars="0" w:left="652" w:hangingChars="233" w:hanging="652"/>
              <w:jc w:val="both"/>
              <w:rPr>
                <w:rFonts w:ascii="Times New Roman" w:eastAsia="標楷體" w:hAnsi="Times New Roman"/>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33</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According to Article 3 of the Model Guidelines, one-time transactions include bill payment. However,</w:t>
            </w:r>
            <w:r w:rsidRPr="00474153">
              <w:rPr>
                <w:rFonts w:ascii="Times New Roman" w:hAnsi="Times New Roman"/>
                <w:sz w:val="28"/>
                <w:lang w:bidi="en-US"/>
              </w:rPr>
              <w:t xml:space="preserve"> If the receivers of </w:t>
            </w:r>
            <w:r w:rsidRPr="00474153">
              <w:rPr>
                <w:rFonts w:ascii="Times New Roman" w:hAnsi="Times New Roman"/>
                <w:color w:val="FF0000"/>
                <w:sz w:val="28"/>
                <w:u w:val="single"/>
                <w:lang w:bidi="en-US"/>
              </w:rPr>
              <w:t>the bill payments</w:t>
            </w:r>
            <w:r w:rsidRPr="00474153">
              <w:rPr>
                <w:rFonts w:ascii="Times New Roman" w:hAnsi="Times New Roman"/>
                <w:sz w:val="28"/>
                <w:lang w:bidi="en-US"/>
              </w:rPr>
              <w:t xml:space="preserve"> have opened an account with </w:t>
            </w:r>
            <w:r w:rsidRPr="00474153">
              <w:rPr>
                <w:rFonts w:ascii="Times New Roman" w:hAnsi="Times New Roman"/>
                <w:color w:val="FF0000"/>
                <w:sz w:val="28"/>
                <w:u w:val="single"/>
                <w:lang w:bidi="en-US"/>
              </w:rPr>
              <w:t>the</w:t>
            </w:r>
            <w:r w:rsidRPr="00474153">
              <w:rPr>
                <w:rFonts w:ascii="Times New Roman" w:hAnsi="Times New Roman"/>
                <w:sz w:val="28"/>
                <w:lang w:bidi="en-US"/>
              </w:rPr>
              <w:t xml:space="preserve"> bank or have an entrustment contract signed, is it necessary to regard it as a one-time transaction customer with the identity verification process initiated? </w:t>
            </w:r>
            <w:r w:rsidRPr="00474153">
              <w:rPr>
                <w:rFonts w:ascii="Times New Roman" w:hAnsi="Times New Roman"/>
                <w:color w:val="FF0000"/>
                <w:sz w:val="28"/>
                <w:u w:val="single"/>
                <w:lang w:bidi="en-US"/>
              </w:rPr>
              <w:t>Does a bill payment include cash and fund transfer?</w:t>
            </w:r>
          </w:p>
          <w:p w14:paraId="06AFA230"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33</w:t>
            </w:r>
            <w:r w:rsidRPr="00474153">
              <w:rPr>
                <w:rFonts w:ascii="Times New Roman" w:hAnsi="Times New Roman" w:cs="Times New Roman"/>
                <w:sz w:val="28"/>
                <w:lang w:bidi="en-US"/>
              </w:rPr>
              <w:t>:</w:t>
            </w:r>
          </w:p>
          <w:p w14:paraId="1AEDB301"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According to Subparagraph 5, Article 3 of the Model Guidelines, one-time transactions refer to the transactions conducted by customers at the banks that they have not yet had a business relation established, including </w:t>
            </w:r>
            <w:r w:rsidRPr="00474153">
              <w:rPr>
                <w:rFonts w:ascii="Times New Roman" w:hAnsi="Times New Roman" w:cs="Times New Roman"/>
                <w:sz w:val="28"/>
                <w:lang w:bidi="en-US"/>
              </w:rPr>
              <w:lastRenderedPageBreak/>
              <w:t>cash remittances, currency exchange</w:t>
            </w:r>
            <w:r w:rsidRPr="00474153">
              <w:rPr>
                <w:rFonts w:ascii="Times New Roman" w:hAnsi="Times New Roman" w:cs="Times New Roman"/>
                <w:color w:val="FF0000"/>
                <w:sz w:val="28"/>
                <w:u w:val="single"/>
                <w:lang w:bidi="en-US"/>
              </w:rPr>
              <w:t>, bill payment</w:t>
            </w:r>
            <w:r w:rsidRPr="00474153">
              <w:rPr>
                <w:rFonts w:ascii="Times New Roman" w:hAnsi="Times New Roman" w:cs="Times New Roman"/>
                <w:sz w:val="28"/>
                <w:lang w:bidi="en-US"/>
              </w:rPr>
              <w:t xml:space="preserve"> and other transactions. Therefore, if a payer made </w:t>
            </w:r>
            <w:r w:rsidRPr="00474153">
              <w:rPr>
                <w:rFonts w:ascii="Times New Roman" w:hAnsi="Times New Roman" w:cs="Times New Roman"/>
                <w:color w:val="FF0000"/>
                <w:sz w:val="28"/>
                <w:u w:val="single"/>
                <w:lang w:bidi="en-US"/>
              </w:rPr>
              <w:t>bill payment</w:t>
            </w:r>
            <w:r w:rsidRPr="00474153">
              <w:rPr>
                <w:rFonts w:ascii="Times New Roman" w:hAnsi="Times New Roman" w:cs="Times New Roman"/>
                <w:sz w:val="28"/>
                <w:lang w:bidi="en-US"/>
              </w:rPr>
              <w:t xml:space="preserve"> at a financial institution to a bank account or an account of the trustor, it is not a one-time transaction.</w:t>
            </w:r>
          </w:p>
        </w:tc>
        <w:tc>
          <w:tcPr>
            <w:tcW w:w="4645" w:type="dxa"/>
            <w:shd w:val="clear" w:color="auto" w:fill="auto"/>
          </w:tcPr>
          <w:p w14:paraId="2BF8DD3E" w14:textId="77777777" w:rsidR="00647136" w:rsidRPr="00474153" w:rsidRDefault="00647136" w:rsidP="00A56215">
            <w:pPr>
              <w:pStyle w:val="a4"/>
              <w:numPr>
                <w:ilvl w:val="0"/>
                <w:numId w:val="47"/>
              </w:numPr>
              <w:adjustRightInd w:val="0"/>
              <w:snapToGrid w:val="0"/>
              <w:spacing w:line="400" w:lineRule="exact"/>
              <w:ind w:leftChars="0" w:left="569" w:hanging="569"/>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6070F5EE" w14:textId="05609014" w:rsidR="00647136" w:rsidRPr="00474153" w:rsidRDefault="00647136" w:rsidP="00A56215">
            <w:pPr>
              <w:pStyle w:val="a4"/>
              <w:numPr>
                <w:ilvl w:val="0"/>
                <w:numId w:val="47"/>
              </w:numPr>
              <w:adjustRightInd w:val="0"/>
              <w:snapToGrid w:val="0"/>
              <w:spacing w:line="400" w:lineRule="exact"/>
              <w:ind w:leftChars="0" w:left="569" w:hanging="569"/>
              <w:jc w:val="both"/>
              <w:rPr>
                <w:rFonts w:ascii="Times New Roman" w:eastAsia="標楷體" w:hAnsi="Times New Roman"/>
                <w:bCs/>
                <w:caps/>
                <w:sz w:val="28"/>
                <w:szCs w:val="28"/>
              </w:rPr>
            </w:pPr>
            <w:r w:rsidRPr="00474153">
              <w:rPr>
                <w:rFonts w:ascii="Times New Roman" w:hAnsi="Times New Roman"/>
                <w:sz w:val="28"/>
                <w:lang w:bidi="en-US"/>
              </w:rPr>
              <w:t xml:space="preserve">According to the Letter No. Jin-Guan-Yin-Fa-Zi No. 10802702660 dated January 23, 2019 by the Financial Supervisory Commission that was transferred to the Ministry of Justice on December 19, 2018 to discuss the “Bank of Taiwan’s handling the collection and payment services of </w:t>
            </w:r>
            <w:r w:rsidRPr="00474153">
              <w:rPr>
                <w:rFonts w:ascii="Times New Roman" w:hAnsi="Times New Roman"/>
                <w:sz w:val="28"/>
                <w:lang w:bidi="en-US"/>
              </w:rPr>
              <w:lastRenderedPageBreak/>
              <w:t>governmental treasuries at all levels subject to the Money Laundering Control Act and the Counter-Terrorism Financing Act” with the minutes of the meeting issued, the questions and explanations are amended accordingly.</w:t>
            </w:r>
          </w:p>
        </w:tc>
      </w:tr>
      <w:tr w:rsidR="00647136" w:rsidRPr="00474153" w14:paraId="73C396E5" w14:textId="77777777" w:rsidTr="00E419A6">
        <w:tc>
          <w:tcPr>
            <w:tcW w:w="510" w:type="dxa"/>
            <w:shd w:val="clear" w:color="auto" w:fill="auto"/>
          </w:tcPr>
          <w:p w14:paraId="1931FD84"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34</w:t>
            </w:r>
          </w:p>
        </w:tc>
        <w:tc>
          <w:tcPr>
            <w:tcW w:w="8335" w:type="dxa"/>
            <w:shd w:val="clear" w:color="auto" w:fill="auto"/>
          </w:tcPr>
          <w:p w14:paraId="2DD7748A" w14:textId="648406EF"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29</w:t>
            </w:r>
            <w:r w:rsidRPr="00474153">
              <w:rPr>
                <w:rFonts w:ascii="Times New Roman" w:hAnsi="Times New Roman"/>
                <w:sz w:val="28"/>
                <w:lang w:bidi="en-US"/>
              </w:rPr>
              <w:t>: If the retained information of an inactive account does not include all the information required for risk assessment, can the bank not conduct risk assessment first and wait to perform customer identity verification and risk assessment when the customer comes to the bank to conduct transactions or open a new account?</w:t>
            </w:r>
          </w:p>
          <w:p w14:paraId="3D9EA5D4" w14:textId="380AFD74" w:rsidR="00647136" w:rsidRPr="00474153" w:rsidRDefault="00647136">
            <w:pPr>
              <w:snapToGrid w:val="0"/>
              <w:ind w:left="708" w:hangingChars="253" w:hanging="70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29</w:t>
            </w:r>
            <w:r w:rsidRPr="00474153">
              <w:rPr>
                <w:rFonts w:ascii="Times New Roman" w:hAnsi="Times New Roman" w:cs="Times New Roman"/>
                <w:sz w:val="28"/>
                <w:lang w:bidi="en-US"/>
              </w:rPr>
              <w:t>:</w:t>
            </w:r>
          </w:p>
          <w:p w14:paraId="0A4C8BBD" w14:textId="77777777" w:rsidR="00647136" w:rsidRPr="00474153" w:rsidRDefault="00647136">
            <w:pPr>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If risk assessments are not performed on inactive customers or accounts that lacked the required information, the bank would not be able to complete full-scale ML/TF risk assessment and devise a prevention plan for the entire bank. For this reason, banks are still required under Description 3(1) in Letter No. Jin-Guan-Yin-Fa-Zi No. 10300328890 issued by the FSC on December 30, 2014 to perform risk assessment on existing customers. If the bank is unable to obtain the information needed to complete risk assessment, it may use reasonable risk indicator estimates for the unavailable information, and take steps to obtain </w:t>
            </w:r>
            <w:r w:rsidRPr="00474153">
              <w:rPr>
                <w:rFonts w:ascii="Times New Roman" w:hAnsi="Times New Roman" w:cs="Times New Roman"/>
                <w:sz w:val="28"/>
                <w:lang w:bidi="en-US"/>
              </w:rPr>
              <w:lastRenderedPageBreak/>
              <w:t>appropriate and timely information depending on customer’s significance and risk level.</w:t>
            </w:r>
          </w:p>
        </w:tc>
        <w:tc>
          <w:tcPr>
            <w:tcW w:w="8335" w:type="dxa"/>
            <w:shd w:val="clear" w:color="auto" w:fill="auto"/>
          </w:tcPr>
          <w:p w14:paraId="35997D58"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34</w:t>
            </w:r>
            <w:r w:rsidRPr="00474153">
              <w:rPr>
                <w:rFonts w:ascii="Times New Roman" w:hAnsi="Times New Roman"/>
                <w:sz w:val="28"/>
                <w:lang w:bidi="en-US"/>
              </w:rPr>
              <w:t>: If the retained information of an inactive account does not include all the information required for risk assessment, can the bank not conduct risk assessment first and wait to perform customer identity verification and risk assessment when the customer comes to the bank to conduct transactions or open a new account?</w:t>
            </w:r>
          </w:p>
          <w:p w14:paraId="5C6A6ED6" w14:textId="77777777" w:rsidR="00647136" w:rsidRPr="00474153" w:rsidRDefault="00647136">
            <w:pPr>
              <w:snapToGrid w:val="0"/>
              <w:ind w:left="708" w:hangingChars="253" w:hanging="70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34</w:t>
            </w:r>
            <w:r w:rsidRPr="00474153">
              <w:rPr>
                <w:rFonts w:ascii="Times New Roman" w:hAnsi="Times New Roman" w:cs="Times New Roman"/>
                <w:sz w:val="28"/>
                <w:lang w:bidi="en-US"/>
              </w:rPr>
              <w:t>:</w:t>
            </w:r>
          </w:p>
          <w:p w14:paraId="7A2AE7B9" w14:textId="77777777" w:rsidR="00647136" w:rsidRPr="00474153" w:rsidRDefault="00647136">
            <w:pPr>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If risk assessments are not performed on inactive customers or accounts that lacked the required information, the bank would not be able to complete full-scale ML/TF risk assessment and devise a prevention plan for the entire bank. For this reason, banks are still required under Description 3(1) in Letter No. Jin-Guan-Yin-Fa-Zi No. 10300328890 issued by the FSC on December 30, 2014 to perform risk assessment on existing customers. If the bank is unable to obtain the information needed to complete risk assessment, it may use reasonable risk indicator estimates for the unavailable information, and take steps to obtain </w:t>
            </w:r>
            <w:r w:rsidRPr="00474153">
              <w:rPr>
                <w:rFonts w:ascii="Times New Roman" w:hAnsi="Times New Roman" w:cs="Times New Roman"/>
                <w:sz w:val="28"/>
                <w:lang w:bidi="en-US"/>
              </w:rPr>
              <w:lastRenderedPageBreak/>
              <w:t>appropriate and timely information depending on customer’s significance and risk level.</w:t>
            </w:r>
          </w:p>
        </w:tc>
        <w:tc>
          <w:tcPr>
            <w:tcW w:w="4645" w:type="dxa"/>
            <w:shd w:val="clear" w:color="auto" w:fill="auto"/>
          </w:tcPr>
          <w:p w14:paraId="5B089832"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647136" w:rsidRPr="00474153" w14:paraId="350412C0" w14:textId="77777777" w:rsidTr="00E419A6">
        <w:tc>
          <w:tcPr>
            <w:tcW w:w="510" w:type="dxa"/>
            <w:shd w:val="clear" w:color="auto" w:fill="auto"/>
          </w:tcPr>
          <w:p w14:paraId="3180BC23"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35</w:t>
            </w:r>
          </w:p>
        </w:tc>
        <w:tc>
          <w:tcPr>
            <w:tcW w:w="8335" w:type="dxa"/>
            <w:shd w:val="clear" w:color="auto" w:fill="auto"/>
          </w:tcPr>
          <w:p w14:paraId="32BE68C0" w14:textId="18AA23EF" w:rsidR="00647136" w:rsidRPr="00474153" w:rsidRDefault="00647136">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30</w:t>
            </w:r>
            <w:r w:rsidRPr="00474153">
              <w:rPr>
                <w:rFonts w:ascii="Times New Roman" w:hAnsi="Times New Roman"/>
                <w:sz w:val="28"/>
                <w:lang w:bidi="en-US"/>
              </w:rPr>
              <w:t>: If there is a need for banks to transact or open an account with a peer financial institution, whether or not for investment or interbank borrowing, do they need to conduct identification or risk assessment?</w:t>
            </w:r>
          </w:p>
          <w:p w14:paraId="4DC56604" w14:textId="523144AA" w:rsidR="00647136" w:rsidRPr="00474153" w:rsidRDefault="00647136">
            <w:pPr>
              <w:snapToGrid w:val="0"/>
              <w:ind w:left="708" w:hangingChars="253" w:hanging="70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30</w:t>
            </w:r>
            <w:r w:rsidRPr="00474153">
              <w:rPr>
                <w:rFonts w:ascii="Times New Roman" w:hAnsi="Times New Roman" w:cs="Times New Roman"/>
                <w:sz w:val="28"/>
                <w:lang w:bidi="en-US"/>
              </w:rPr>
              <w:t>:</w:t>
            </w:r>
          </w:p>
          <w:p w14:paraId="28E7803F" w14:textId="77777777" w:rsidR="00647136" w:rsidRPr="00474153" w:rsidRDefault="00647136">
            <w:pPr>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If there is a need for banks to transact or open an account with a peer financial institution, whether for investment or interbank borrowing, only the financial institution where the account is opened is required to perform customer due diligence and customer risk grading. Meanwhile, the financial institution where no new account is opened shall adopt the appropriate risk control measures according to its AML/CFT policy.</w:t>
            </w:r>
          </w:p>
        </w:tc>
        <w:tc>
          <w:tcPr>
            <w:tcW w:w="8335" w:type="dxa"/>
            <w:shd w:val="clear" w:color="auto" w:fill="auto"/>
          </w:tcPr>
          <w:p w14:paraId="542FADBA" w14:textId="77777777" w:rsidR="00647136" w:rsidRPr="00474153" w:rsidRDefault="00647136">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35</w:t>
            </w:r>
            <w:r w:rsidRPr="00474153">
              <w:rPr>
                <w:rFonts w:ascii="Times New Roman" w:hAnsi="Times New Roman"/>
                <w:sz w:val="28"/>
                <w:lang w:bidi="en-US"/>
              </w:rPr>
              <w:t>: If there is a need for banks to transact or open an account with a peer financial institution, whether or not for investment or interbank borrowing, do they need to conduct identification or risk assessment?</w:t>
            </w:r>
          </w:p>
          <w:p w14:paraId="4428A54B" w14:textId="77777777" w:rsidR="00647136" w:rsidRPr="00474153" w:rsidRDefault="00647136">
            <w:pPr>
              <w:snapToGrid w:val="0"/>
              <w:ind w:left="708" w:hangingChars="253" w:hanging="708"/>
              <w:jc w:val="both"/>
              <w:rPr>
                <w:rFonts w:ascii="Times New Roman" w:eastAsia="標楷體" w:hAnsi="Times New Roman" w:cs="Times New Roman"/>
                <w:bCs/>
                <w:caps/>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35</w:t>
            </w:r>
            <w:r w:rsidRPr="00474153">
              <w:rPr>
                <w:rFonts w:ascii="Times New Roman" w:hAnsi="Times New Roman" w:cs="Times New Roman"/>
                <w:sz w:val="28"/>
                <w:lang w:bidi="en-US"/>
              </w:rPr>
              <w:t>:</w:t>
            </w:r>
          </w:p>
          <w:p w14:paraId="6659F739" w14:textId="77777777" w:rsidR="00647136" w:rsidRPr="00474153" w:rsidRDefault="00647136">
            <w:pPr>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If there is a need for banks to transact or open an account with a peer financial institution, whether for investment or interbank borrowing, only the financial institution where the account is opened is required to perform customer due diligence and customer risk grading. Meanwhile, the financial institution where no new account is opened shall adopt the appropriate risk control measures according to its AML/CFT policy.</w:t>
            </w:r>
          </w:p>
        </w:tc>
        <w:tc>
          <w:tcPr>
            <w:tcW w:w="4645" w:type="dxa"/>
            <w:shd w:val="clear" w:color="auto" w:fill="auto"/>
          </w:tcPr>
          <w:p w14:paraId="246E42C4"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647136" w:rsidRPr="00474153" w14:paraId="4CDA5EC0" w14:textId="77777777" w:rsidTr="00E419A6">
        <w:tc>
          <w:tcPr>
            <w:tcW w:w="510" w:type="dxa"/>
            <w:shd w:val="clear" w:color="auto" w:fill="auto"/>
          </w:tcPr>
          <w:p w14:paraId="78501667"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36</w:t>
            </w:r>
          </w:p>
        </w:tc>
        <w:tc>
          <w:tcPr>
            <w:tcW w:w="8335" w:type="dxa"/>
            <w:shd w:val="clear" w:color="auto" w:fill="auto"/>
          </w:tcPr>
          <w:p w14:paraId="7C97794A" w14:textId="6D956C54" w:rsidR="00647136" w:rsidRPr="00474153" w:rsidRDefault="00647136" w:rsidP="00A56215">
            <w:pPr>
              <w:pStyle w:val="a4"/>
              <w:snapToGrid w:val="0"/>
              <w:spacing w:line="400" w:lineRule="exact"/>
              <w:ind w:leftChars="6" w:left="644" w:hangingChars="225" w:hanging="630"/>
              <w:jc w:val="both"/>
              <w:rPr>
                <w:rFonts w:ascii="Times New Roman" w:eastAsia="標楷體" w:hAnsi="Times New Roman"/>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31</w:t>
            </w:r>
            <w:r w:rsidRPr="00474153">
              <w:rPr>
                <w:rFonts w:ascii="Times New Roman" w:hAnsi="Times New Roman"/>
                <w:sz w:val="28"/>
                <w:lang w:bidi="en-US"/>
              </w:rPr>
              <w:t xml:space="preserve">: Paragraph 2, Article 5 of the Model Guidelines states that banks shall regularly review whether or not the information they have obtained to identify customers and their beneficial owners is sufficient, and ensure that such information is updated, especially for high-risk customers, it should be reviewed at least once a year; </w:t>
            </w:r>
            <w:r w:rsidR="00B8072A" w:rsidRPr="00474153">
              <w:rPr>
                <w:rFonts w:ascii="Times New Roman" w:hAnsi="Times New Roman"/>
                <w:color w:val="FF0000"/>
                <w:sz w:val="28"/>
                <w:u w:val="single"/>
                <w:lang w:bidi="en-US"/>
              </w:rPr>
              <w:t xml:space="preserve">however, how often should a medium and low-risk customer be reviewed? </w:t>
            </w:r>
            <w:r w:rsidRPr="00474153">
              <w:rPr>
                <w:rFonts w:ascii="Times New Roman" w:hAnsi="Times New Roman"/>
                <w:sz w:val="28"/>
                <w:lang w:bidi="en-US"/>
              </w:rPr>
              <w:t>Is it necessary to obtain new information from customers for every regular review? Is it necessary to review high-risk customers who are inactive for a prolonged period of time?</w:t>
            </w:r>
          </w:p>
          <w:p w14:paraId="5A151227" w14:textId="1869C53C" w:rsidR="00647136" w:rsidRPr="00474153" w:rsidRDefault="00647136">
            <w:pPr>
              <w:pStyle w:val="a4"/>
              <w:snapToGrid w:val="0"/>
              <w:spacing w:line="400" w:lineRule="exact"/>
              <w:ind w:leftChars="6" w:left="697" w:hangingChars="244" w:hanging="683"/>
              <w:jc w:val="both"/>
              <w:rPr>
                <w:rFonts w:ascii="Times New Roman" w:eastAsia="標楷體" w:hAnsi="Times New Roman"/>
                <w:bCs/>
                <w:caps/>
                <w:sz w:val="28"/>
                <w:szCs w:val="28"/>
              </w:rPr>
            </w:pPr>
            <w:r w:rsidRPr="00474153">
              <w:rPr>
                <w:rFonts w:ascii="Times New Roman" w:hAnsi="Times New Roman"/>
                <w:sz w:val="28"/>
                <w:lang w:bidi="en-US"/>
              </w:rPr>
              <w:t>A</w:t>
            </w:r>
            <w:r w:rsidR="00AF3B50" w:rsidRPr="00474153">
              <w:rPr>
                <w:rFonts w:ascii="Times New Roman" w:hAnsi="Times New Roman"/>
                <w:color w:val="FF0000"/>
                <w:sz w:val="28"/>
                <w:u w:val="single"/>
                <w:lang w:bidi="en-US"/>
              </w:rPr>
              <w:t>31</w:t>
            </w:r>
            <w:r w:rsidRPr="00474153">
              <w:rPr>
                <w:rFonts w:ascii="Times New Roman" w:hAnsi="Times New Roman"/>
                <w:sz w:val="28"/>
                <w:lang w:bidi="en-US"/>
              </w:rPr>
              <w:t>:</w:t>
            </w:r>
          </w:p>
          <w:p w14:paraId="75664F30" w14:textId="2CC045DF" w:rsidR="00647136" w:rsidRPr="00474153" w:rsidRDefault="00231A07" w:rsidP="004C39D4">
            <w:pPr>
              <w:pStyle w:val="a4"/>
              <w:numPr>
                <w:ilvl w:val="0"/>
                <w:numId w:val="23"/>
              </w:numPr>
              <w:spacing w:line="400" w:lineRule="exact"/>
              <w:ind w:leftChars="0" w:left="622" w:rightChars="-27" w:right="-65" w:hanging="622"/>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The frequency of review for low- and medium-risk customers should be determined by the bank based on its risk-based assessment policy.</w:t>
            </w:r>
          </w:p>
          <w:p w14:paraId="70F8C94A" w14:textId="3DDCF58F" w:rsidR="00647136" w:rsidRPr="00474153" w:rsidRDefault="00231A07" w:rsidP="00A56215">
            <w:pPr>
              <w:pStyle w:val="a4"/>
              <w:numPr>
                <w:ilvl w:val="0"/>
                <w:numId w:val="23"/>
              </w:numPr>
              <w:spacing w:line="400" w:lineRule="exact"/>
              <w:ind w:leftChars="0" w:left="622" w:rightChars="-27" w:right="-65" w:hanging="622"/>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The purposes of regular customer review are to refresh the bank’s understanding of its customers and to ensure that customers’ information is up-to-date. It does not necessarily require a re-submission of all documents needed for identification and review. During the regular customer review, banks should determine the types of document or information to be obtained from customers based on their own risk policies and practices.</w:t>
            </w:r>
          </w:p>
          <w:p w14:paraId="134F089B" w14:textId="60C54364" w:rsidR="00647136" w:rsidRPr="00474153" w:rsidRDefault="00231A07" w:rsidP="00A56215">
            <w:pPr>
              <w:pStyle w:val="a4"/>
              <w:numPr>
                <w:ilvl w:val="0"/>
                <w:numId w:val="23"/>
              </w:numPr>
              <w:spacing w:line="400" w:lineRule="exact"/>
              <w:ind w:leftChars="0" w:left="622" w:rightChars="-27" w:right="-65" w:hanging="622"/>
              <w:jc w:val="both"/>
              <w:rPr>
                <w:rFonts w:ascii="Times New Roman" w:eastAsia="標楷體" w:hAnsi="Times New Roman"/>
                <w:sz w:val="28"/>
                <w:szCs w:val="28"/>
              </w:rPr>
            </w:pPr>
            <w:r w:rsidRPr="00474153">
              <w:rPr>
                <w:rFonts w:ascii="Times New Roman" w:hAnsi="Times New Roman"/>
                <w:color w:val="FF0000"/>
                <w:sz w:val="28"/>
                <w:u w:val="single"/>
                <w:lang w:bidi="en-US"/>
              </w:rPr>
              <w:lastRenderedPageBreak/>
              <w:t>Whether or not there is a need to review customers who are inactive for a prolonged period of time should be determined by banks according to their own risk assessment policies. Based on an observation of foreign best practices, it is appropriate for financial institutions to forego a regular review of customers that have been inactive for a prolonged period of time, as long as the financial institution has clearly defined “inactive customer” in its policies and procedures and adopted relevant control measures.</w:t>
            </w:r>
          </w:p>
        </w:tc>
        <w:tc>
          <w:tcPr>
            <w:tcW w:w="8335" w:type="dxa"/>
            <w:shd w:val="clear" w:color="auto" w:fill="auto"/>
          </w:tcPr>
          <w:p w14:paraId="5A09EB5D" w14:textId="77777777" w:rsidR="00647136" w:rsidRPr="00474153" w:rsidRDefault="0064713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36</w:t>
            </w:r>
            <w:r w:rsidRPr="00474153">
              <w:rPr>
                <w:rFonts w:ascii="Times New Roman" w:hAnsi="Times New Roman"/>
                <w:sz w:val="28"/>
                <w:lang w:bidi="en-US"/>
              </w:rPr>
              <w:t xml:space="preserve">: Paragraph 2, Article 5 of the Model Guidelines states that banks shall regularly review whether or not the information they have obtained to identify customers and their beneficial owners is sufficient, and ensure that such information is updated, especially for high-risk customers, it should be reviewed at least once a year. </w:t>
            </w:r>
            <w:r w:rsidRPr="00474153">
              <w:rPr>
                <w:rFonts w:ascii="Times New Roman" w:hAnsi="Times New Roman"/>
                <w:color w:val="FF0000"/>
                <w:sz w:val="28"/>
                <w:u w:val="single"/>
                <w:lang w:bidi="en-US"/>
              </w:rPr>
              <w:t xml:space="preserve">In addition to the aforementioned customers, the frequency of review shall be determined according to the risk-based approach. </w:t>
            </w:r>
            <w:r w:rsidRPr="00474153">
              <w:rPr>
                <w:rFonts w:ascii="Times New Roman" w:hAnsi="Times New Roman"/>
                <w:sz w:val="28"/>
                <w:lang w:bidi="en-US"/>
              </w:rPr>
              <w:t xml:space="preserve">Is it necessary to obtain new information from customers for every regular review? Is it necessary to review high-risk customers who are inactive for a prolonged period of time? </w:t>
            </w:r>
            <w:r w:rsidRPr="00474153">
              <w:rPr>
                <w:rFonts w:ascii="Times New Roman" w:hAnsi="Times New Roman"/>
                <w:color w:val="FF0000"/>
                <w:sz w:val="28"/>
                <w:u w:val="single"/>
                <w:lang w:bidi="en-US"/>
              </w:rPr>
              <w:t>How often, in general, should medium and low-risk customers be reviewed?</w:t>
            </w:r>
          </w:p>
          <w:p w14:paraId="49972C72" w14:textId="77777777" w:rsidR="00647136" w:rsidRPr="00474153" w:rsidRDefault="00647136">
            <w:pPr>
              <w:pStyle w:val="a4"/>
              <w:snapToGrid w:val="0"/>
              <w:spacing w:line="400" w:lineRule="exact"/>
              <w:ind w:leftChars="6" w:left="697" w:hangingChars="244" w:hanging="683"/>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36</w:t>
            </w:r>
            <w:r w:rsidRPr="00474153">
              <w:rPr>
                <w:rFonts w:ascii="Times New Roman" w:hAnsi="Times New Roman"/>
                <w:sz w:val="28"/>
                <w:lang w:bidi="en-US"/>
              </w:rPr>
              <w:t>:</w:t>
            </w:r>
          </w:p>
          <w:p w14:paraId="4790ED33" w14:textId="77777777" w:rsidR="00647136" w:rsidRPr="00474153" w:rsidRDefault="00647136" w:rsidP="00A56215">
            <w:pPr>
              <w:pStyle w:val="a4"/>
              <w:numPr>
                <w:ilvl w:val="0"/>
                <w:numId w:val="52"/>
              </w:numPr>
              <w:spacing w:line="400" w:lineRule="exact"/>
              <w:ind w:leftChars="0" w:left="653" w:rightChars="-27" w:right="-65" w:hanging="653"/>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The purposes of regular customer review are to refresh the bank’s understanding of its customers and to ensure that customers’ information is up-to-date. It does not necessarily require a re-submission of all documents needed for identification and review. During the regular customer review, banks should determine the types of document or information to be obtained from customers based on their own risk policies and practices.</w:t>
            </w:r>
          </w:p>
          <w:p w14:paraId="1DE8AAED" w14:textId="77777777" w:rsidR="00647136" w:rsidRPr="00474153" w:rsidRDefault="00647136" w:rsidP="00A56215">
            <w:pPr>
              <w:pStyle w:val="a4"/>
              <w:numPr>
                <w:ilvl w:val="0"/>
                <w:numId w:val="52"/>
              </w:numPr>
              <w:spacing w:line="400" w:lineRule="exact"/>
              <w:ind w:leftChars="0" w:left="653" w:rightChars="-27" w:right="-65" w:hanging="653"/>
              <w:jc w:val="both"/>
              <w:rPr>
                <w:rFonts w:ascii="Times New Roman" w:eastAsia="標楷體" w:hAnsi="Times New Roman"/>
                <w:color w:val="FF0000"/>
                <w:sz w:val="28"/>
                <w:szCs w:val="28"/>
                <w:u w:val="single"/>
              </w:rPr>
            </w:pPr>
            <w:r w:rsidRPr="00474153">
              <w:rPr>
                <w:rFonts w:ascii="Times New Roman" w:hAnsi="Times New Roman"/>
                <w:color w:val="FF0000"/>
                <w:sz w:val="28"/>
                <w:u w:val="single"/>
                <w:lang w:bidi="en-US"/>
              </w:rPr>
              <w:t xml:space="preserve">Whether or not there is a need to review customers who are inactive </w:t>
            </w:r>
            <w:r w:rsidRPr="00474153">
              <w:rPr>
                <w:rFonts w:ascii="Times New Roman" w:hAnsi="Times New Roman"/>
                <w:color w:val="FF0000"/>
                <w:sz w:val="28"/>
                <w:u w:val="single"/>
                <w:lang w:bidi="en-US"/>
              </w:rPr>
              <w:lastRenderedPageBreak/>
              <w:t>for a prolonged period of time should be determined by banks according to their own risk assessment policies. Based on an observation of foreign best practices, it is appropriate for financial institutions to forego a regular review of customers that have been inactive for a prolonged period of time, as long as the financial institution has clearly defined “inactive customer” in its policies and procedures and adopted relevant control measures.</w:t>
            </w:r>
          </w:p>
          <w:p w14:paraId="01F20112" w14:textId="77777777" w:rsidR="00647136" w:rsidRPr="00474153" w:rsidRDefault="00647136" w:rsidP="00A56215">
            <w:pPr>
              <w:pStyle w:val="a4"/>
              <w:numPr>
                <w:ilvl w:val="0"/>
                <w:numId w:val="52"/>
              </w:numPr>
              <w:spacing w:line="400" w:lineRule="exact"/>
              <w:ind w:leftChars="0" w:left="653" w:rightChars="-27" w:right="-65" w:hanging="653"/>
              <w:jc w:val="both"/>
              <w:rPr>
                <w:rFonts w:ascii="Times New Roman" w:eastAsia="標楷體" w:hAnsi="Times New Roman"/>
                <w:sz w:val="28"/>
                <w:szCs w:val="28"/>
              </w:rPr>
            </w:pPr>
            <w:r w:rsidRPr="00474153">
              <w:rPr>
                <w:rFonts w:ascii="Times New Roman" w:hAnsi="Times New Roman"/>
                <w:color w:val="FF0000"/>
                <w:sz w:val="28"/>
                <w:u w:val="single"/>
                <w:lang w:bidi="en-US"/>
              </w:rPr>
              <w:t>For medium and low-risk customers, banks should adopt a risk-based assessment policy and determine the frequency of review at their own discretion.</w:t>
            </w:r>
          </w:p>
        </w:tc>
        <w:tc>
          <w:tcPr>
            <w:tcW w:w="4645" w:type="dxa"/>
            <w:shd w:val="clear" w:color="auto" w:fill="auto"/>
          </w:tcPr>
          <w:p w14:paraId="3C1FC124" w14:textId="77777777" w:rsidR="00231A07" w:rsidRPr="00474153" w:rsidRDefault="00231A07" w:rsidP="00A56215">
            <w:pPr>
              <w:pStyle w:val="a4"/>
              <w:numPr>
                <w:ilvl w:val="0"/>
                <w:numId w:val="123"/>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lastRenderedPageBreak/>
              <w:t>Question number changed</w:t>
            </w:r>
          </w:p>
          <w:p w14:paraId="2941655D" w14:textId="45FBD7B4" w:rsidR="00647136" w:rsidRPr="00474153" w:rsidRDefault="0092412E" w:rsidP="00A56215">
            <w:pPr>
              <w:pStyle w:val="a4"/>
              <w:numPr>
                <w:ilvl w:val="0"/>
                <w:numId w:val="123"/>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t>Adjust the order of questions and descriptions</w:t>
            </w:r>
          </w:p>
        </w:tc>
      </w:tr>
      <w:tr w:rsidR="00647136" w:rsidRPr="00474153" w14:paraId="7DF13929" w14:textId="77777777" w:rsidTr="00E419A6">
        <w:tc>
          <w:tcPr>
            <w:tcW w:w="510" w:type="dxa"/>
            <w:shd w:val="clear" w:color="auto" w:fill="auto"/>
          </w:tcPr>
          <w:p w14:paraId="7071CDE7"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37</w:t>
            </w:r>
          </w:p>
        </w:tc>
        <w:tc>
          <w:tcPr>
            <w:tcW w:w="8335" w:type="dxa"/>
            <w:shd w:val="clear" w:color="auto" w:fill="auto"/>
          </w:tcPr>
          <w:p w14:paraId="58F5152C" w14:textId="77777777" w:rsidR="00647136" w:rsidRPr="00474153" w:rsidRDefault="00647136">
            <w:pPr>
              <w:jc w:val="both"/>
              <w:rPr>
                <w:rFonts w:ascii="Times New Roman" w:eastAsia="標楷體" w:hAnsi="Times New Roman" w:cs="Times New Roman"/>
                <w:sz w:val="28"/>
                <w:szCs w:val="28"/>
              </w:rPr>
            </w:pPr>
          </w:p>
        </w:tc>
        <w:tc>
          <w:tcPr>
            <w:tcW w:w="8335" w:type="dxa"/>
            <w:shd w:val="clear" w:color="auto" w:fill="auto"/>
          </w:tcPr>
          <w:p w14:paraId="4D3A155F" w14:textId="77777777" w:rsidR="00647136" w:rsidRPr="00474153" w:rsidRDefault="00647136">
            <w:pPr>
              <w:pStyle w:val="a4"/>
              <w:snapToGrid w:val="0"/>
              <w:spacing w:line="400" w:lineRule="exact"/>
              <w:ind w:leftChars="6" w:left="714" w:hangingChars="250" w:hanging="70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Q37: The laws have outlined several circumstances in which a bank is entitled to “terminate the business relationship with customers.” Is it appropriate to draft the master account opening agreement in such a way that it empowers the bank to close a customer’s account after serving notice?</w:t>
            </w:r>
          </w:p>
          <w:p w14:paraId="4852B5ED" w14:textId="77777777" w:rsidR="00647136" w:rsidRPr="00474153" w:rsidRDefault="00647136">
            <w:pPr>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A37:</w:t>
            </w:r>
          </w:p>
          <w:p w14:paraId="281A2BD3" w14:textId="77777777" w:rsidR="00647136" w:rsidRPr="00474153" w:rsidRDefault="00647136">
            <w:pPr>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Subparagraph 15, Article 4 of the Model Guidelines states that, “Banks may enforce contractual terms under the following circumstances: (i) Banks may reject a service request or terminate a business relationship if the customer exhibits any of the signs listed in Item 8, Subparagraph 1. ” For this reason, banks are entitled under Item 8, Subparagraph 1, Article 4 to terminate a business relationship with customers according to the terms of the underlying contract. However, as a more robust practice, banks should involve their legal affairs departments in the related procedures.</w:t>
            </w:r>
          </w:p>
        </w:tc>
        <w:tc>
          <w:tcPr>
            <w:tcW w:w="4645" w:type="dxa"/>
            <w:shd w:val="clear" w:color="auto" w:fill="auto"/>
          </w:tcPr>
          <w:p w14:paraId="0F10189E" w14:textId="77777777" w:rsidR="00647136" w:rsidRPr="00474153" w:rsidRDefault="00647136" w:rsidP="00A56215">
            <w:pPr>
              <w:pStyle w:val="a4"/>
              <w:numPr>
                <w:ilvl w:val="0"/>
                <w:numId w:val="124"/>
              </w:numPr>
              <w:adjustRightInd w:val="0"/>
              <w:snapToGrid w:val="0"/>
              <w:spacing w:line="400" w:lineRule="exact"/>
              <w:ind w:leftChars="0" w:left="567" w:hanging="567"/>
              <w:jc w:val="both"/>
              <w:rPr>
                <w:rFonts w:ascii="Times New Roman" w:eastAsia="標楷體" w:hAnsi="Times New Roman"/>
                <w:bCs/>
                <w:caps/>
                <w:sz w:val="28"/>
                <w:szCs w:val="28"/>
              </w:rPr>
            </w:pPr>
            <w:r w:rsidRPr="00474153">
              <w:rPr>
                <w:rFonts w:ascii="Times New Roman" w:hAnsi="Times New Roman"/>
                <w:sz w:val="28"/>
                <w:lang w:bidi="en-US"/>
              </w:rPr>
              <w:t>This question is deleted.</w:t>
            </w:r>
          </w:p>
          <w:p w14:paraId="778D2C81" w14:textId="77777777" w:rsidR="00647136" w:rsidRPr="00474153" w:rsidRDefault="00647136" w:rsidP="00A56215">
            <w:pPr>
              <w:pStyle w:val="a4"/>
              <w:numPr>
                <w:ilvl w:val="0"/>
                <w:numId w:val="124"/>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t>Since the guidelines for banks are described in Item 2, Subparagraph 3 and 4, Note 3 of the “Simplified Measures for Banks to Obtain or Update Periodic Customer Review or Risk Assessment Data” announced with Letter No. Jin-Guan-Yin-Fa-Zi No. 10801049290 dated April 16, 2019 issued by the Financial Supervisory Commission and Subparagraph 15, Article 4 of the Model Guidelines, this question is deleted.</w:t>
            </w:r>
          </w:p>
        </w:tc>
      </w:tr>
      <w:tr w:rsidR="00647136" w:rsidRPr="00474153" w14:paraId="1D09AAA6" w14:textId="77777777" w:rsidTr="00E419A6">
        <w:tc>
          <w:tcPr>
            <w:tcW w:w="510" w:type="dxa"/>
            <w:shd w:val="clear" w:color="auto" w:fill="auto"/>
          </w:tcPr>
          <w:p w14:paraId="2A2AD41B" w14:textId="77777777" w:rsidR="00647136" w:rsidRPr="00474153" w:rsidRDefault="00647136">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38</w:t>
            </w:r>
          </w:p>
        </w:tc>
        <w:tc>
          <w:tcPr>
            <w:tcW w:w="8335" w:type="dxa"/>
            <w:shd w:val="clear" w:color="auto" w:fill="auto"/>
          </w:tcPr>
          <w:p w14:paraId="4817CD2D" w14:textId="698EE9BB" w:rsidR="00647136" w:rsidRPr="00474153" w:rsidRDefault="00647136">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32</w:t>
            </w:r>
            <w:r w:rsidRPr="00474153">
              <w:rPr>
                <w:rFonts w:ascii="Times New Roman" w:hAnsi="Times New Roman"/>
                <w:sz w:val="28"/>
                <w:lang w:bidi="en-US"/>
              </w:rPr>
              <w:t xml:space="preserve">: According to Subparagraph 2, Article 4 of the Model Guidelines, the timing of confirming customer identity is “(ii) Conducting the following one-time transactions: 1. When a currency transaction exceeds a certain amount. The same applies to multiple transactions with apparent connections that exceed a certain sum. ” Multiple transactions with apparent connections are easier to identify when the transactions are made over counter, but it is difficult to identify customers when transactions are conducted </w:t>
            </w:r>
            <w:r w:rsidRPr="00474153">
              <w:rPr>
                <w:rFonts w:ascii="Times New Roman" w:hAnsi="Times New Roman"/>
                <w:sz w:val="28"/>
                <w:lang w:bidi="en-US"/>
              </w:rPr>
              <w:lastRenderedPageBreak/>
              <w:t>using automated channels. Is it appropriate to exclude automated transactions from the review of “multiple transactions with apparent connection”?</w:t>
            </w:r>
          </w:p>
          <w:p w14:paraId="5427081F" w14:textId="2AA9A6DE"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AF3B50" w:rsidRPr="00474153">
              <w:rPr>
                <w:rFonts w:ascii="Times New Roman" w:hAnsi="Times New Roman" w:cs="Times New Roman"/>
                <w:color w:val="FF0000"/>
                <w:sz w:val="28"/>
                <w:u w:val="single"/>
                <w:lang w:bidi="en-US"/>
              </w:rPr>
              <w:t>32</w:t>
            </w:r>
            <w:r w:rsidRPr="00474153">
              <w:rPr>
                <w:rFonts w:ascii="Times New Roman" w:hAnsi="Times New Roman" w:cs="Times New Roman"/>
                <w:sz w:val="28"/>
                <w:lang w:bidi="en-US"/>
              </w:rPr>
              <w:t>:</w:t>
            </w:r>
          </w:p>
          <w:p w14:paraId="786F5FC1" w14:textId="77777777" w:rsidR="00647136" w:rsidRPr="00474153" w:rsidRDefault="00647136">
            <w:pPr>
              <w:pStyle w:val="a4"/>
              <w:snapToGrid w:val="0"/>
              <w:spacing w:line="400" w:lineRule="exact"/>
              <w:ind w:leftChars="0" w:left="14"/>
              <w:jc w:val="both"/>
              <w:rPr>
                <w:rFonts w:ascii="Times New Roman" w:eastAsia="標楷體" w:hAnsi="Times New Roman"/>
                <w:bCs/>
                <w:caps/>
                <w:sz w:val="28"/>
                <w:szCs w:val="28"/>
              </w:rPr>
            </w:pPr>
            <w:r w:rsidRPr="00474153">
              <w:rPr>
                <w:rFonts w:ascii="Times New Roman" w:hAnsi="Times New Roman"/>
                <w:sz w:val="28"/>
                <w:lang w:bidi="en-US"/>
              </w:rPr>
              <w:t>According to the U.S. Bank Secrecy Act (BSA) and Currency Transaction Reporting–Aggregation of Currency Transactions section of the Anti-Money Laundering (AML) Examination Manual, “multiple transactions with apparent connections” include transactions conducted over automated equipment. However, they apply only to transactions conducted by the same customer (or the same authorized person) within the same day that the bank has knowledge of. Therefore, if the bank is aware of the identity of the person transacting through automated equipment, the bank shall add up all one-time transactions conducted over-the-counter and using automated equipment by the same customer (or the same authorized person) within the same day to determine whether or not it is necessary to confirm customer’s identity. If a customer initiates a transaction above a certain amount without the use of a card or by using unidentifiable methods such as offshore ATM card on an automated equipment, the bank shall, due to the inability to verify the customer’s identity at that moment, withhold the transaction and instruct the customer to complete the transaction over-the-counter. Customers who conduct transaction using ATM cards issued by other local banks over automated equipment are exempted from identity verification, because their identities have already been confirmed when they established the business relationships with the respective banks.</w:t>
            </w:r>
          </w:p>
        </w:tc>
        <w:tc>
          <w:tcPr>
            <w:tcW w:w="8335" w:type="dxa"/>
            <w:shd w:val="clear" w:color="auto" w:fill="auto"/>
          </w:tcPr>
          <w:p w14:paraId="63B96ECA" w14:textId="77777777" w:rsidR="00647136" w:rsidRPr="00474153" w:rsidRDefault="00647136">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38</w:t>
            </w:r>
            <w:r w:rsidRPr="00474153">
              <w:rPr>
                <w:rFonts w:ascii="Times New Roman" w:hAnsi="Times New Roman"/>
                <w:sz w:val="28"/>
                <w:lang w:bidi="en-US"/>
              </w:rPr>
              <w:t xml:space="preserve">: According to Subparagraph 2, </w:t>
            </w:r>
            <w:r w:rsidRPr="00474153">
              <w:rPr>
                <w:rFonts w:ascii="Times New Roman" w:hAnsi="Times New Roman"/>
                <w:color w:val="FF0000"/>
                <w:sz w:val="28"/>
                <w:u w:val="single"/>
                <w:lang w:bidi="en-US"/>
              </w:rPr>
              <w:t>Paragraph 1</w:t>
            </w:r>
            <w:r w:rsidRPr="00474153">
              <w:rPr>
                <w:rFonts w:ascii="Times New Roman" w:hAnsi="Times New Roman"/>
                <w:sz w:val="28"/>
                <w:lang w:bidi="en-US"/>
              </w:rPr>
              <w:t xml:space="preserve">, Article 4 of the Model Guidelines, the timing of confirming customer identity is “(ii) Conducting the following one-time transactions: 1. When a currency transaction exceeds a certain amount. The same applies to multiple transactions with apparent connections that exceed a certain sum. ” Multiple transactions with apparent connections are easier to identify when the transactions are made over counter, but it is difficult to identify customers when transactions are conducted </w:t>
            </w:r>
            <w:r w:rsidRPr="00474153">
              <w:rPr>
                <w:rFonts w:ascii="Times New Roman" w:hAnsi="Times New Roman"/>
                <w:sz w:val="28"/>
                <w:lang w:bidi="en-US"/>
              </w:rPr>
              <w:lastRenderedPageBreak/>
              <w:t>using automated channels. Is it appropriate to exclude automated transactions from the review of “multiple transactions with apparent connection”?</w:t>
            </w:r>
          </w:p>
          <w:p w14:paraId="5BDC2900" w14:textId="77777777" w:rsidR="00647136" w:rsidRPr="00474153" w:rsidRDefault="0064713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38</w:t>
            </w:r>
            <w:r w:rsidRPr="00474153">
              <w:rPr>
                <w:rFonts w:ascii="Times New Roman" w:hAnsi="Times New Roman" w:cs="Times New Roman"/>
                <w:sz w:val="28"/>
                <w:lang w:bidi="en-US"/>
              </w:rPr>
              <w:t>:</w:t>
            </w:r>
          </w:p>
          <w:p w14:paraId="281DDB3D" w14:textId="77777777" w:rsidR="00647136" w:rsidRPr="00474153" w:rsidRDefault="00647136">
            <w:pPr>
              <w:pStyle w:val="a4"/>
              <w:snapToGrid w:val="0"/>
              <w:spacing w:line="400" w:lineRule="exact"/>
              <w:ind w:leftChars="0" w:left="14"/>
              <w:jc w:val="both"/>
              <w:rPr>
                <w:rFonts w:ascii="Times New Roman" w:eastAsia="標楷體" w:hAnsi="Times New Roman"/>
                <w:bCs/>
                <w:caps/>
                <w:sz w:val="28"/>
                <w:szCs w:val="28"/>
              </w:rPr>
            </w:pPr>
            <w:r w:rsidRPr="00474153">
              <w:rPr>
                <w:rFonts w:ascii="Times New Roman" w:hAnsi="Times New Roman"/>
                <w:sz w:val="28"/>
                <w:lang w:bidi="en-US"/>
              </w:rPr>
              <w:t>According to the U.S. Bank Secrecy Act (BSA) and Currency Transaction Reporting–Aggregation of Currency Transactions section of the Anti-Money Laundering (AML) Examination Manual, “multiple transactions with apparent connections” include transactions conducted over automated equipment. However, they apply only to transactions conducted by the same customer (or the same authorized person) within the same day that the bank has knowledge of. Therefore, if the bank is aware of the identity of the person transacting through automated equipment, the bank shall add up all one-time transactions conducted over-the-counter and using automated equipment by the same customer (or the same authorized person) within the same day to determine whether or not it is necessary to confirm customer’s identity. If a customer initiates a transaction above a certain amount without the use of a card or by using unidentifiable methods such as offshore ATM card on an automated equipment, the bank shall, due to the inability to verify the customer’s identity at that moment, withhold the transaction and instruct the customer to complete the transaction over-the-counter. Customers who conduct transaction using ATM cards issued by other local banks over automated equipment are exempted from identity verification, because their identities have already been confirmed when they established the business relationships with the respective banks.</w:t>
            </w:r>
          </w:p>
        </w:tc>
        <w:tc>
          <w:tcPr>
            <w:tcW w:w="4645" w:type="dxa"/>
            <w:shd w:val="clear" w:color="auto" w:fill="auto"/>
          </w:tcPr>
          <w:p w14:paraId="1C707EC4" w14:textId="77777777" w:rsidR="00647136" w:rsidRPr="00474153" w:rsidRDefault="00647136" w:rsidP="00A56215">
            <w:pPr>
              <w:pStyle w:val="a4"/>
              <w:numPr>
                <w:ilvl w:val="0"/>
                <w:numId w:val="125"/>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lastRenderedPageBreak/>
              <w:t>Question number changed</w:t>
            </w:r>
          </w:p>
          <w:p w14:paraId="22BBE33F" w14:textId="68D42E96" w:rsidR="00647136" w:rsidRPr="00474153" w:rsidRDefault="00647136" w:rsidP="00A56215">
            <w:pPr>
              <w:pStyle w:val="a4"/>
              <w:numPr>
                <w:ilvl w:val="0"/>
                <w:numId w:val="125"/>
              </w:numPr>
              <w:adjustRightInd w:val="0"/>
              <w:snapToGrid w:val="0"/>
              <w:spacing w:line="400" w:lineRule="exact"/>
              <w:ind w:leftChars="0" w:left="567" w:hanging="567"/>
              <w:jc w:val="both"/>
              <w:rPr>
                <w:rFonts w:ascii="Times New Roman" w:eastAsia="標楷體" w:hAnsi="Times New Roman"/>
                <w:sz w:val="28"/>
                <w:szCs w:val="28"/>
              </w:rPr>
            </w:pPr>
            <w:r w:rsidRPr="00474153">
              <w:rPr>
                <w:rFonts w:ascii="Times New Roman" w:hAnsi="Times New Roman"/>
                <w:sz w:val="28"/>
                <w:lang w:bidi="en-US"/>
              </w:rPr>
              <w:t>Amend the order of item by referring to the contents Note 2 of Q14.</w:t>
            </w:r>
          </w:p>
        </w:tc>
      </w:tr>
    </w:tbl>
    <w:p w14:paraId="16E47614" w14:textId="77777777" w:rsidR="00517178" w:rsidRPr="00474153" w:rsidRDefault="00517178">
      <w:pPr>
        <w:rPr>
          <w:rFonts w:ascii="Times New Roman" w:eastAsia="標楷體" w:hAnsi="Times New Roman" w:cs="Times New Roman"/>
          <w:sz w:val="28"/>
          <w:szCs w:val="28"/>
        </w:rPr>
      </w:pPr>
      <w:r w:rsidRPr="00474153">
        <w:rPr>
          <w:rFonts w:ascii="Times New Roman" w:hAnsi="Times New Roman" w:cs="Times New Roman"/>
          <w:sz w:val="28"/>
          <w:lang w:bidi="en-US"/>
        </w:rPr>
        <w:br w:type="page"/>
      </w:r>
    </w:p>
    <w:p w14:paraId="55929396" w14:textId="77777777" w:rsidR="008B1038" w:rsidRPr="00474153" w:rsidRDefault="003820CA">
      <w:pP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4. Suspicious ML/TF patterns</w:t>
      </w:r>
    </w:p>
    <w:p w14:paraId="7334D5C7" w14:textId="77777777" w:rsidR="008B1038" w:rsidRPr="00474153" w:rsidRDefault="008B1038">
      <w:pPr>
        <w:rPr>
          <w:rFonts w:ascii="Times New Roman" w:eastAsia="標楷體" w:hAnsi="Times New Roman" w:cs="Times New Roman"/>
          <w:sz w:val="28"/>
          <w:szCs w:val="28"/>
        </w:rPr>
      </w:pPr>
    </w:p>
    <w:tbl>
      <w:tblPr>
        <w:tblStyle w:val="a3"/>
        <w:tblW w:w="0" w:type="auto"/>
        <w:tblLayout w:type="fixed"/>
        <w:tblLook w:val="04A0" w:firstRow="1" w:lastRow="0" w:firstColumn="1" w:lastColumn="0" w:noHBand="0" w:noVBand="1"/>
      </w:tblPr>
      <w:tblGrid>
        <w:gridCol w:w="510"/>
        <w:gridCol w:w="8335"/>
        <w:gridCol w:w="8335"/>
        <w:gridCol w:w="4536"/>
      </w:tblGrid>
      <w:tr w:rsidR="00061C29" w:rsidRPr="00474153" w14:paraId="7FD460DE" w14:textId="77777777" w:rsidTr="00E419A6">
        <w:trPr>
          <w:tblHeader/>
        </w:trPr>
        <w:tc>
          <w:tcPr>
            <w:tcW w:w="510" w:type="dxa"/>
            <w:shd w:val="clear" w:color="auto" w:fill="auto"/>
          </w:tcPr>
          <w:p w14:paraId="4CFA2FE6" w14:textId="77777777" w:rsidR="00061C29" w:rsidRPr="00474153" w:rsidRDefault="00061C29">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w:t>
            </w:r>
          </w:p>
        </w:tc>
        <w:tc>
          <w:tcPr>
            <w:tcW w:w="8335" w:type="dxa"/>
            <w:shd w:val="clear" w:color="auto" w:fill="auto"/>
          </w:tcPr>
          <w:p w14:paraId="350C6718" w14:textId="77777777" w:rsidR="00061C29" w:rsidRPr="00474153" w:rsidRDefault="00C1758C">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Corrected Q&amp;A</w:t>
            </w:r>
          </w:p>
        </w:tc>
        <w:tc>
          <w:tcPr>
            <w:tcW w:w="8335" w:type="dxa"/>
            <w:shd w:val="clear" w:color="auto" w:fill="auto"/>
          </w:tcPr>
          <w:p w14:paraId="37DBC3B5" w14:textId="77777777" w:rsidR="00061C29" w:rsidRPr="00474153" w:rsidRDefault="00C1758C">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Current answer</w:t>
            </w:r>
          </w:p>
        </w:tc>
        <w:tc>
          <w:tcPr>
            <w:tcW w:w="4536" w:type="dxa"/>
            <w:shd w:val="clear" w:color="auto" w:fill="auto"/>
          </w:tcPr>
          <w:p w14:paraId="04EFD53E" w14:textId="77777777" w:rsidR="00061C29" w:rsidRPr="00474153" w:rsidRDefault="00061C29">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Description</w:t>
            </w:r>
          </w:p>
        </w:tc>
      </w:tr>
      <w:tr w:rsidR="009E3BC0" w:rsidRPr="00474153" w14:paraId="280EF5A6" w14:textId="77777777" w:rsidTr="00E419A6">
        <w:tc>
          <w:tcPr>
            <w:tcW w:w="510" w:type="dxa"/>
            <w:shd w:val="clear" w:color="auto" w:fill="auto"/>
          </w:tcPr>
          <w:p w14:paraId="11953171"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39</w:t>
            </w:r>
          </w:p>
        </w:tc>
        <w:tc>
          <w:tcPr>
            <w:tcW w:w="8335" w:type="dxa"/>
            <w:shd w:val="clear" w:color="auto" w:fill="auto"/>
          </w:tcPr>
          <w:p w14:paraId="23967B38" w14:textId="5371C41D" w:rsidR="009E3BC0" w:rsidRPr="00474153" w:rsidRDefault="009E3BC0" w:rsidP="00A56215">
            <w:pPr>
              <w:pStyle w:val="a4"/>
              <w:snapToGrid w:val="0"/>
              <w:spacing w:line="400" w:lineRule="exact"/>
              <w:ind w:leftChars="0" w:left="624" w:hangingChars="223" w:hanging="624"/>
              <w:jc w:val="both"/>
              <w:rPr>
                <w:rFonts w:ascii="Times New Roman" w:eastAsia="標楷體" w:hAnsi="Times New Roman"/>
                <w:bCs/>
                <w:caps/>
                <w:color w:val="FF0000"/>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33</w:t>
            </w:r>
            <w:r w:rsidRPr="00474153">
              <w:rPr>
                <w:rFonts w:ascii="Times New Roman" w:hAnsi="Times New Roman"/>
                <w:color w:val="FF0000"/>
                <w:sz w:val="28"/>
                <w:lang w:bidi="en-US"/>
              </w:rPr>
              <w:t>:</w:t>
            </w:r>
            <w:r w:rsidRPr="00474153">
              <w:rPr>
                <w:rFonts w:ascii="Times New Roman" w:hAnsi="Times New Roman"/>
                <w:sz w:val="28"/>
                <w:lang w:bidi="en-US"/>
              </w:rPr>
              <w:t xml:space="preserve"> Is the suspected money laundering or terrorism financing transaction pattern in the appendix just an example? Can each financial institution choose its own monitoring criteria </w:t>
            </w:r>
            <w:r w:rsidRPr="00474153">
              <w:rPr>
                <w:rFonts w:ascii="Times New Roman" w:hAnsi="Times New Roman"/>
                <w:color w:val="FF0000"/>
                <w:sz w:val="28"/>
                <w:u w:val="single"/>
                <w:lang w:bidi="en-US"/>
              </w:rPr>
              <w:t>and whether it must be monitored with an information system, or part of it can be controlled manually by the bank according to the risk-based approach</w:t>
            </w:r>
            <w:r w:rsidRPr="00474153">
              <w:rPr>
                <w:rFonts w:ascii="Times New Roman" w:hAnsi="Times New Roman"/>
                <w:sz w:val="28"/>
                <w:lang w:bidi="en-US"/>
              </w:rPr>
              <w:t>?</w:t>
            </w:r>
          </w:p>
          <w:p w14:paraId="5F01CB8A" w14:textId="3F1A5C87" w:rsidR="009E3BC0" w:rsidRPr="00474153" w:rsidRDefault="009E3BC0">
            <w:pPr>
              <w:ind w:left="580" w:hangingChars="207" w:hanging="580"/>
              <w:jc w:val="both"/>
              <w:rPr>
                <w:rFonts w:ascii="Times New Roman" w:eastAsia="標楷體" w:hAnsi="Times New Roman" w:cs="Times New Roman"/>
                <w:color w:val="FF0000"/>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33</w:t>
            </w:r>
            <w:r w:rsidRPr="00474153">
              <w:rPr>
                <w:rFonts w:ascii="Times New Roman" w:hAnsi="Times New Roman" w:cs="Times New Roman"/>
                <w:color w:val="FF0000"/>
                <w:sz w:val="28"/>
                <w:lang w:bidi="en-US"/>
              </w:rPr>
              <w:t>:</w:t>
            </w:r>
          </w:p>
          <w:p w14:paraId="62EA4FD0" w14:textId="7CC4273C"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The patterns shown in the appendix should be used as a reference for developing monitoring criteria. According to Subparagraph 7 </w:t>
            </w:r>
            <w:r w:rsidR="006C4FD7" w:rsidRPr="00474153">
              <w:rPr>
                <w:rFonts w:ascii="Times New Roman" w:hAnsi="Times New Roman" w:cs="Times New Roman"/>
                <w:color w:val="FF0000"/>
                <w:sz w:val="28"/>
                <w:u w:val="single"/>
                <w:lang w:bidi="en-US"/>
              </w:rPr>
              <w:t>and 9</w:t>
            </w:r>
            <w:r w:rsidRPr="00474153">
              <w:rPr>
                <w:rFonts w:ascii="Times New Roman" w:hAnsi="Times New Roman" w:cs="Times New Roman"/>
                <w:sz w:val="28"/>
                <w:lang w:bidi="en-US"/>
              </w:rPr>
              <w:t xml:space="preserve">, Paragraph 1, Article 9 of the Model Guidelines, banks shall select or develop suitable monitoring criteria </w:t>
            </w:r>
            <w:r w:rsidR="006C4FD7" w:rsidRPr="00474153">
              <w:rPr>
                <w:rFonts w:ascii="Times New Roman" w:hAnsi="Times New Roman" w:cs="Times New Roman"/>
                <w:color w:val="FF0000"/>
                <w:sz w:val="28"/>
                <w:u w:val="single"/>
                <w:lang w:bidi="en-US"/>
              </w:rPr>
              <w:t>and establish relevant information systems to assist monitoring</w:t>
            </w:r>
            <w:r w:rsidRPr="00474153">
              <w:rPr>
                <w:rFonts w:ascii="Times New Roman" w:hAnsi="Times New Roman" w:cs="Times New Roman"/>
                <w:sz w:val="28"/>
                <w:lang w:bidi="en-US"/>
              </w:rPr>
              <w:t xml:space="preserve">, and </w:t>
            </w:r>
            <w:r w:rsidR="00FA1192" w:rsidRPr="00474153">
              <w:rPr>
                <w:rFonts w:ascii="Times New Roman" w:hAnsi="Times New Roman" w:cs="Times New Roman"/>
                <w:color w:val="FF0000"/>
                <w:sz w:val="28"/>
                <w:u w:val="single"/>
                <w:lang w:bidi="en-US"/>
              </w:rPr>
              <w:t>shall utilize risk-based methods, such as consideration of transaction volume, characteristics of patterns, or the effectiveness of monitoring measures, after performing an analysis of risks, to determine an appropriate monitoring method. The aforementioned monitoring policies and procedures for accounts and transactions should be stipulated and updated regularly in accordance with Subparagraph 3 and 4, Paragraph 1, Article 9 of the Model Guidelines; also, a written analysis record should be kept regardless of whether they are stipulated or updated</w:t>
            </w:r>
            <w:r w:rsidRPr="00474153">
              <w:rPr>
                <w:rFonts w:ascii="Times New Roman" w:hAnsi="Times New Roman" w:cs="Times New Roman"/>
                <w:sz w:val="28"/>
                <w:lang w:bidi="en-US"/>
              </w:rPr>
              <w:t xml:space="preserve"> to evidence the rationality of the monitoring criteria.</w:t>
            </w:r>
          </w:p>
        </w:tc>
        <w:tc>
          <w:tcPr>
            <w:tcW w:w="8335" w:type="dxa"/>
            <w:shd w:val="clear" w:color="auto" w:fill="auto"/>
          </w:tcPr>
          <w:p w14:paraId="5204C0DE" w14:textId="77777777" w:rsidR="009E3BC0" w:rsidRPr="00474153" w:rsidRDefault="009E3BC0" w:rsidP="00A56215">
            <w:pPr>
              <w:pStyle w:val="a4"/>
              <w:snapToGrid w:val="0"/>
              <w:spacing w:line="400" w:lineRule="exact"/>
              <w:ind w:leftChars="0" w:left="638" w:hangingChars="228" w:hanging="638"/>
              <w:jc w:val="both"/>
              <w:rPr>
                <w:rFonts w:ascii="Times New Roman" w:eastAsia="標楷體" w:hAnsi="Times New Roman"/>
                <w:bCs/>
                <w:caps/>
                <w:color w:val="FF0000"/>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39</w:t>
            </w:r>
            <w:r w:rsidRPr="00474153">
              <w:rPr>
                <w:rFonts w:ascii="Times New Roman" w:hAnsi="Times New Roman"/>
                <w:color w:val="FF0000"/>
                <w:sz w:val="28"/>
                <w:lang w:bidi="en-US"/>
              </w:rPr>
              <w:t>:</w:t>
            </w:r>
            <w:r w:rsidRPr="00474153">
              <w:rPr>
                <w:rFonts w:ascii="Times New Roman" w:hAnsi="Times New Roman"/>
                <w:sz w:val="28"/>
                <w:lang w:bidi="en-US"/>
              </w:rPr>
              <w:t xml:space="preserve"> Is the suspected money laundering or terrorism financing transaction pattern in the appendix just an example? Can each financial institution choose its own monitoring criteria </w:t>
            </w:r>
            <w:r w:rsidRPr="00474153">
              <w:rPr>
                <w:rFonts w:ascii="Times New Roman" w:hAnsi="Times New Roman"/>
                <w:color w:val="FF0000"/>
                <w:sz w:val="28"/>
                <w:u w:val="single"/>
                <w:lang w:bidi="en-US"/>
              </w:rPr>
              <w:t>in accordance with the provision of Subparagraph 7, Paragraph 1, Article 9</w:t>
            </w:r>
            <w:r w:rsidRPr="00474153">
              <w:rPr>
                <w:rFonts w:ascii="Times New Roman" w:hAnsi="Times New Roman"/>
                <w:sz w:val="28"/>
                <w:lang w:bidi="en-US"/>
              </w:rPr>
              <w:t>?</w:t>
            </w:r>
          </w:p>
          <w:p w14:paraId="1B67EA7B" w14:textId="77777777" w:rsidR="009E3BC0" w:rsidRPr="00474153" w:rsidRDefault="009E3BC0">
            <w:pPr>
              <w:ind w:left="580" w:hangingChars="207" w:hanging="580"/>
              <w:jc w:val="both"/>
              <w:rPr>
                <w:rFonts w:ascii="Times New Roman" w:eastAsia="標楷體" w:hAnsi="Times New Roman" w:cs="Times New Roman"/>
                <w:color w:val="FF0000"/>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39</w:t>
            </w:r>
            <w:r w:rsidRPr="00474153">
              <w:rPr>
                <w:rFonts w:ascii="Times New Roman" w:hAnsi="Times New Roman" w:cs="Times New Roman"/>
                <w:color w:val="FF0000"/>
                <w:sz w:val="28"/>
                <w:lang w:bidi="en-US"/>
              </w:rPr>
              <w:t>:</w:t>
            </w:r>
          </w:p>
          <w:p w14:paraId="7C9B1E63" w14:textId="77777777" w:rsidR="009E3BC0" w:rsidRPr="00474153" w:rsidRDefault="009E3BC0">
            <w:pPr>
              <w:jc w:val="both"/>
              <w:rPr>
                <w:rFonts w:ascii="Times New Roman" w:eastAsia="標楷體" w:hAnsi="Times New Roman" w:cs="Times New Roman"/>
                <w:color w:val="FF0000"/>
                <w:sz w:val="28"/>
                <w:szCs w:val="28"/>
              </w:rPr>
            </w:pPr>
            <w:r w:rsidRPr="00474153">
              <w:rPr>
                <w:rFonts w:ascii="Times New Roman" w:hAnsi="Times New Roman" w:cs="Times New Roman"/>
                <w:sz w:val="28"/>
                <w:lang w:bidi="en-US"/>
              </w:rPr>
              <w:t xml:space="preserve">The patterns shown in the appendix should be used as a reference for developing monitoring criteria. According to the provisions of Subparagraph 7, Paragraph 1, Article 9 of the Model Guidelines, banks </w:t>
            </w:r>
            <w:r w:rsidRPr="00474153">
              <w:rPr>
                <w:rFonts w:ascii="Times New Roman" w:hAnsi="Times New Roman" w:cs="Times New Roman"/>
                <w:color w:val="FF0000"/>
                <w:sz w:val="28"/>
                <w:u w:val="single"/>
                <w:lang w:bidi="en-US"/>
              </w:rPr>
              <w:t>shall, based on the scale of their assets, geographic distribution, business characteristics, customer nature, and transaction characteristics; also, refer to the bank’s internal money laundering and terrorism financing risk assessment or daily transaction, select or develop their own monitoring criteria. Therefore, banks should apply the risk-based approach</w:t>
            </w:r>
            <w:r w:rsidRPr="00474153">
              <w:rPr>
                <w:rFonts w:ascii="Times New Roman" w:hAnsi="Times New Roman" w:cs="Times New Roman"/>
                <w:sz w:val="28"/>
                <w:lang w:bidi="en-US"/>
              </w:rPr>
              <w:t xml:space="preserve"> to select or develop suitable monitoring criteria with written analysis records kept in order to evidence the rationality of monitoring criteria.</w:t>
            </w:r>
          </w:p>
        </w:tc>
        <w:tc>
          <w:tcPr>
            <w:tcW w:w="4536" w:type="dxa"/>
            <w:shd w:val="clear" w:color="auto" w:fill="auto"/>
          </w:tcPr>
          <w:p w14:paraId="65E9B486" w14:textId="77777777" w:rsidR="009E3BC0" w:rsidRPr="00474153" w:rsidRDefault="009E3BC0" w:rsidP="00A56215">
            <w:pPr>
              <w:pStyle w:val="a4"/>
              <w:numPr>
                <w:ilvl w:val="0"/>
                <w:numId w:val="50"/>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Question number changed</w:t>
            </w:r>
          </w:p>
          <w:p w14:paraId="354EB8A9" w14:textId="2BB06388" w:rsidR="009E3BC0" w:rsidRPr="00474153" w:rsidRDefault="009E3BC0" w:rsidP="00A56215">
            <w:pPr>
              <w:pStyle w:val="a4"/>
              <w:numPr>
                <w:ilvl w:val="0"/>
                <w:numId w:val="50"/>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Merged with the Q46 and with the content amended in accordance with Subparagraph 3, 4, 7, and 9, Paragraph 1, Article 9 of the Model Guidelines.</w:t>
            </w:r>
          </w:p>
        </w:tc>
      </w:tr>
      <w:tr w:rsidR="009E3BC0" w:rsidRPr="00474153" w14:paraId="0CE4A1BD" w14:textId="77777777" w:rsidTr="00E419A6">
        <w:tc>
          <w:tcPr>
            <w:tcW w:w="510" w:type="dxa"/>
            <w:shd w:val="clear" w:color="auto" w:fill="auto"/>
          </w:tcPr>
          <w:p w14:paraId="60F2BB5E"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40</w:t>
            </w:r>
          </w:p>
        </w:tc>
        <w:tc>
          <w:tcPr>
            <w:tcW w:w="8335" w:type="dxa"/>
            <w:shd w:val="clear" w:color="auto" w:fill="auto"/>
          </w:tcPr>
          <w:p w14:paraId="5B0AEBB9" w14:textId="28E72CDA"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AF3B50" w:rsidRPr="00474153">
              <w:rPr>
                <w:rFonts w:ascii="Times New Roman" w:hAnsi="Times New Roman"/>
                <w:color w:val="FF0000"/>
                <w:sz w:val="28"/>
                <w:u w:val="single"/>
                <w:lang w:bidi="en-US"/>
              </w:rPr>
              <w:t>34</w:t>
            </w:r>
            <w:r w:rsidRPr="00474153">
              <w:rPr>
                <w:rFonts w:ascii="Times New Roman" w:hAnsi="Times New Roman"/>
                <w:sz w:val="28"/>
                <w:lang w:bidi="en-US"/>
              </w:rPr>
              <w:t>: Regarding the “Reporting of transactions suspected to involve money laundering or terrorism financing” stated in Paragraph 2, Article 9 of the Model Guidelines, how should the transaction amount be determined at the time of reporting?</w:t>
            </w:r>
          </w:p>
          <w:p w14:paraId="4D020B99" w14:textId="47B075DF"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A</w:t>
            </w:r>
            <w:r w:rsidR="00AF3B50" w:rsidRPr="00474153">
              <w:rPr>
                <w:rFonts w:ascii="Times New Roman" w:hAnsi="Times New Roman"/>
                <w:color w:val="FF0000"/>
                <w:sz w:val="28"/>
                <w:u w:val="single"/>
                <w:lang w:bidi="en-US"/>
              </w:rPr>
              <w:t>34</w:t>
            </w:r>
            <w:r w:rsidRPr="00474153">
              <w:rPr>
                <w:rFonts w:ascii="Times New Roman" w:hAnsi="Times New Roman"/>
                <w:sz w:val="28"/>
                <w:lang w:bidi="en-US"/>
              </w:rPr>
              <w:t>:</w:t>
            </w:r>
          </w:p>
          <w:p w14:paraId="6283BBEE" w14:textId="77777777" w:rsidR="009E3BC0" w:rsidRPr="00474153" w:rsidRDefault="009E3BC0">
            <w:pPr>
              <w:pStyle w:val="a4"/>
              <w:numPr>
                <w:ilvl w:val="0"/>
                <w:numId w:val="8"/>
              </w:numPr>
              <w:snapToGrid w:val="0"/>
              <w:spacing w:line="400" w:lineRule="exact"/>
              <w:ind w:leftChars="0" w:left="714" w:hanging="700"/>
              <w:jc w:val="both"/>
              <w:rPr>
                <w:rFonts w:ascii="Times New Roman" w:eastAsia="標楷體" w:hAnsi="Times New Roman"/>
                <w:bCs/>
                <w:caps/>
                <w:sz w:val="28"/>
                <w:szCs w:val="28"/>
              </w:rPr>
            </w:pPr>
            <w:r w:rsidRPr="00474153">
              <w:rPr>
                <w:rFonts w:ascii="Times New Roman" w:hAnsi="Times New Roman"/>
                <w:sz w:val="28"/>
                <w:lang w:bidi="en-US"/>
              </w:rPr>
              <w:t>Transaction amount is determined mainly based on credit entries. From the perspective of criminal proceeds, debit entries are simply ways to launder them, and therefore the report should not comprise a sum of debit and credit entries.</w:t>
            </w:r>
          </w:p>
          <w:p w14:paraId="72CD8102" w14:textId="77777777" w:rsidR="009E3BC0" w:rsidRPr="00474153" w:rsidRDefault="009E3BC0">
            <w:pPr>
              <w:pStyle w:val="a4"/>
              <w:numPr>
                <w:ilvl w:val="0"/>
                <w:numId w:val="8"/>
              </w:numPr>
              <w:snapToGrid w:val="0"/>
              <w:spacing w:line="400" w:lineRule="exact"/>
              <w:ind w:leftChars="0" w:left="714" w:hanging="700"/>
              <w:jc w:val="both"/>
              <w:rPr>
                <w:rFonts w:ascii="Times New Roman" w:eastAsia="標楷體" w:hAnsi="Times New Roman"/>
                <w:bCs/>
                <w:caps/>
                <w:sz w:val="28"/>
                <w:szCs w:val="28"/>
              </w:rPr>
            </w:pPr>
            <w:r w:rsidRPr="00474153">
              <w:rPr>
                <w:rFonts w:ascii="Times New Roman" w:hAnsi="Times New Roman"/>
                <w:sz w:val="28"/>
                <w:lang w:bidi="en-US"/>
              </w:rPr>
              <w:t>Case examples:</w:t>
            </w:r>
          </w:p>
          <w:p w14:paraId="50DB2AFA" w14:textId="6B14A425"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lastRenderedPageBreak/>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1</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Shortly after $10 million was credited into account A, a sum of $0.5 million was withdrawn in multiple transactions of less than $5 million each. In which case, the amount of transaction should be $10 million.</w:t>
            </w:r>
          </w:p>
          <w:p w14:paraId="030C9F67" w14:textId="11EA11C9"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2</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A total of NT$6 million was recently deposited into account A in cash in more than a dozen transactions of less than $0.5 million each, and $5 million were transferred outwards shortly after. In which case, the transaction amount should be reported at $6 million.</w:t>
            </w:r>
          </w:p>
          <w:p w14:paraId="164BD915" w14:textId="5BB906B0"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3</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A total of $10 million was recently deposited into account A through cash, remittance and fund transfer, and $9 million was withdrawn shortly after in cash or multiple wire transfers. In which case, the transaction amount should be reported at $10 million.</w:t>
            </w:r>
          </w:p>
          <w:p w14:paraId="76D3C9FA" w14:textId="64427064"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4</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On January 1, $5 million was transferred into account A and shortly after withdrawn in cash; on January 2, another $5 million was transferred into the account and shortly thereafter withdrawn in cash; and on January 3, another $5 million was transferred into the account and shortly after withdrawn in cash. In which case, the transaction amount should be reported at $15 million.</w:t>
            </w:r>
          </w:p>
          <w:p w14:paraId="35F87A60" w14:textId="63DEA017"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5</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Party A has $5 million in cash and later transfers $3 million to Party B in multiple transactions and deposits, another $2 million to Party C’s account in cash. In which case, the transaction amount should be reported at $5 million.</w:t>
            </w:r>
          </w:p>
          <w:p w14:paraId="187B86C6" w14:textId="77777777" w:rsidR="009E3BC0" w:rsidRPr="00474153" w:rsidRDefault="009E3BC0">
            <w:pPr>
              <w:pStyle w:val="a4"/>
              <w:numPr>
                <w:ilvl w:val="0"/>
                <w:numId w:val="8"/>
              </w:numPr>
              <w:snapToGrid w:val="0"/>
              <w:spacing w:line="400" w:lineRule="exact"/>
              <w:ind w:leftChars="0" w:left="714" w:hanging="700"/>
              <w:jc w:val="both"/>
              <w:rPr>
                <w:rFonts w:ascii="Times New Roman" w:eastAsia="標楷體" w:hAnsi="Times New Roman"/>
                <w:bCs/>
                <w:caps/>
                <w:sz w:val="28"/>
                <w:szCs w:val="28"/>
              </w:rPr>
            </w:pPr>
            <w:r w:rsidRPr="00474153">
              <w:rPr>
                <w:rFonts w:ascii="Times New Roman" w:hAnsi="Times New Roman"/>
                <w:sz w:val="28"/>
                <w:lang w:bidi="en-US"/>
              </w:rPr>
              <w:t>When explaining suspicious reasons, banks should describe the credit entries followed by how the money is being laundered (</w:t>
            </w:r>
            <w:r w:rsidRPr="00474153">
              <w:rPr>
                <w:rFonts w:ascii="Times New Roman" w:hAnsi="Times New Roman"/>
                <w:i/>
                <w:sz w:val="28"/>
                <w:lang w:bidi="en-US"/>
              </w:rPr>
              <w:t>e.g.</w:t>
            </w:r>
            <w:r w:rsidRPr="00474153">
              <w:rPr>
                <w:rFonts w:ascii="Times New Roman" w:hAnsi="Times New Roman"/>
                <w:sz w:val="28"/>
                <w:lang w:bidi="en-US"/>
              </w:rPr>
              <w:t xml:space="preserve"> the debit entries), and the sum of the credit entries shall be reported as the transaction amount.</w:t>
            </w:r>
          </w:p>
        </w:tc>
        <w:tc>
          <w:tcPr>
            <w:tcW w:w="8335" w:type="dxa"/>
            <w:shd w:val="clear" w:color="auto" w:fill="auto"/>
          </w:tcPr>
          <w:p w14:paraId="55EE21DC" w14:textId="77777777"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40</w:t>
            </w:r>
            <w:r w:rsidRPr="00474153">
              <w:rPr>
                <w:rFonts w:ascii="Times New Roman" w:hAnsi="Times New Roman"/>
                <w:sz w:val="28"/>
                <w:lang w:bidi="en-US"/>
              </w:rPr>
              <w:t>: Regarding the “Reporting of transactions suspected to involve money laundering or terrorism financing” stated in Paragraph 2, Article 9 of the Model Guidelines, how should the transaction amount be determined at the time of reporting?</w:t>
            </w:r>
          </w:p>
          <w:p w14:paraId="2B95DD26" w14:textId="77777777"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40</w:t>
            </w:r>
            <w:r w:rsidRPr="00474153">
              <w:rPr>
                <w:rFonts w:ascii="Times New Roman" w:hAnsi="Times New Roman"/>
                <w:sz w:val="28"/>
                <w:lang w:bidi="en-US"/>
              </w:rPr>
              <w:t>:</w:t>
            </w:r>
          </w:p>
          <w:p w14:paraId="2F51C7AF" w14:textId="77777777" w:rsidR="009E3BC0" w:rsidRPr="00474153" w:rsidRDefault="009E3BC0">
            <w:pPr>
              <w:pStyle w:val="a4"/>
              <w:numPr>
                <w:ilvl w:val="0"/>
                <w:numId w:val="5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Transaction amount is determined mainly based on credit entries. From the perspective of criminal proceeds, debit entries are simply ways to launder them, and therefore the report should not comprise a sum of debit and credit entries.</w:t>
            </w:r>
          </w:p>
          <w:p w14:paraId="6F6645FC" w14:textId="77777777" w:rsidR="009E3BC0" w:rsidRPr="00474153" w:rsidRDefault="009E3BC0">
            <w:pPr>
              <w:pStyle w:val="a4"/>
              <w:numPr>
                <w:ilvl w:val="0"/>
                <w:numId w:val="51"/>
              </w:numPr>
              <w:snapToGrid w:val="0"/>
              <w:spacing w:line="400" w:lineRule="exact"/>
              <w:ind w:leftChars="0" w:left="714" w:hanging="700"/>
              <w:jc w:val="both"/>
              <w:rPr>
                <w:rFonts w:ascii="Times New Roman" w:eastAsia="標楷體" w:hAnsi="Times New Roman"/>
                <w:bCs/>
                <w:caps/>
                <w:sz w:val="28"/>
                <w:szCs w:val="28"/>
              </w:rPr>
            </w:pPr>
            <w:r w:rsidRPr="00474153">
              <w:rPr>
                <w:rFonts w:ascii="Times New Roman" w:hAnsi="Times New Roman"/>
                <w:sz w:val="28"/>
                <w:lang w:bidi="en-US"/>
              </w:rPr>
              <w:t>Case examples:</w:t>
            </w:r>
          </w:p>
          <w:p w14:paraId="4197C457" w14:textId="2F0DAED0"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lastRenderedPageBreak/>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1</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Shortly after $10 million was credited into account A, a sum of $0.5 million was withdrawn in multiple transactions of less than $5 million each. In which case, the amount of transaction should be $10 million.</w:t>
            </w:r>
          </w:p>
          <w:p w14:paraId="765417BE" w14:textId="3AF81E68"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2</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A total of NT$6 million was recently deposited into account A in cash in more than a dozen transactions of less than $0.5 million each, and $5 million were transferred outwards shortly after. In which case, the transaction amount should be reported at $6 million.</w:t>
            </w:r>
          </w:p>
          <w:p w14:paraId="131FC192" w14:textId="5BB34223"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3</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A total of $10 million was recently deposited into account A through cash, remittance and fund transfer, and $9 million was withdrawn shortly after in cash or multiple wire transfers. In which case, the transaction amount should be reported at $10 million.</w:t>
            </w:r>
          </w:p>
          <w:p w14:paraId="4451C718" w14:textId="06FD2810"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4</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On January 1, $5 million was transferred into account A and shortly after withdrawn in cash; on January 2, another $5 million was transferred into the account and shortly thereafter withdrawn in cash; and on January 3, another $5 million was transferred into the account and shortly after withdrawn in cash. In which case, the transaction amount should be reported at $15 million.</w:t>
            </w:r>
          </w:p>
          <w:p w14:paraId="104FC162" w14:textId="38F69E24" w:rsidR="009E3BC0" w:rsidRPr="00474153" w:rsidRDefault="004C39D4">
            <w:pPr>
              <w:pStyle w:val="a4"/>
              <w:snapToGrid w:val="0"/>
              <w:spacing w:line="400" w:lineRule="exact"/>
              <w:ind w:leftChars="345" w:left="1108" w:hangingChars="100" w:hanging="280"/>
              <w:jc w:val="both"/>
              <w:rPr>
                <w:rFonts w:ascii="Times New Roman" w:eastAsia="標楷體" w:hAnsi="Times New Roman"/>
                <w:bCs/>
                <w:caps/>
                <w:sz w:val="28"/>
                <w:szCs w:val="28"/>
              </w:rPr>
            </w:pPr>
            <w:r w:rsidRPr="00474153">
              <w:rPr>
                <w:rFonts w:ascii="Times New Roman" w:hAnsi="Times New Roman"/>
                <w:sz w:val="28"/>
                <w:lang w:bidi="en-US"/>
              </w:rPr>
              <w:fldChar w:fldCharType="begin"/>
            </w:r>
            <w:r w:rsidRPr="00474153">
              <w:rPr>
                <w:rFonts w:ascii="Times New Roman" w:hAnsi="Times New Roman"/>
                <w:sz w:val="28"/>
                <w:lang w:bidi="en-US"/>
              </w:rPr>
              <w:instrText xml:space="preserve"> eq \o\ac(○,</w:instrText>
            </w:r>
            <w:r w:rsidRPr="00474153">
              <w:rPr>
                <w:rFonts w:ascii="Times New Roman" w:hAnsi="Times New Roman"/>
                <w:position w:val="3"/>
                <w:sz w:val="19"/>
                <w:lang w:bidi="en-US"/>
              </w:rPr>
              <w:instrText>5</w:instrText>
            </w:r>
            <w:r w:rsidRPr="00474153">
              <w:rPr>
                <w:rFonts w:ascii="Times New Roman" w:hAnsi="Times New Roman"/>
                <w:sz w:val="28"/>
                <w:lang w:bidi="en-US"/>
              </w:rPr>
              <w:instrText>)</w:instrText>
            </w:r>
            <w:r w:rsidRPr="00474153">
              <w:rPr>
                <w:rFonts w:ascii="Times New Roman" w:hAnsi="Times New Roman"/>
                <w:sz w:val="28"/>
                <w:lang w:bidi="en-US"/>
              </w:rPr>
              <w:fldChar w:fldCharType="end"/>
            </w:r>
            <w:r w:rsidR="009E3BC0" w:rsidRPr="00474153">
              <w:rPr>
                <w:rFonts w:ascii="Times New Roman" w:hAnsi="Times New Roman"/>
                <w:sz w:val="28"/>
                <w:lang w:bidi="en-US"/>
              </w:rPr>
              <w:t>Party A has $5 million in cash and later transfers $3 million to Party B in multiple transactions and deposits, another $2 million to Party C’s account in cash. In which case, the transaction amount should be reported at $5 million.</w:t>
            </w:r>
          </w:p>
          <w:p w14:paraId="5EBA8206" w14:textId="77777777" w:rsidR="009E3BC0" w:rsidRPr="00474153" w:rsidRDefault="009E3BC0">
            <w:pPr>
              <w:pStyle w:val="a4"/>
              <w:numPr>
                <w:ilvl w:val="0"/>
                <w:numId w:val="51"/>
              </w:numPr>
              <w:snapToGrid w:val="0"/>
              <w:spacing w:line="400" w:lineRule="exact"/>
              <w:ind w:leftChars="0" w:left="714" w:hanging="700"/>
              <w:jc w:val="both"/>
              <w:rPr>
                <w:rFonts w:ascii="Times New Roman" w:eastAsia="標楷體" w:hAnsi="Times New Roman"/>
                <w:bCs/>
                <w:caps/>
                <w:sz w:val="28"/>
                <w:szCs w:val="28"/>
              </w:rPr>
            </w:pPr>
            <w:r w:rsidRPr="00474153">
              <w:rPr>
                <w:rFonts w:ascii="Times New Roman" w:hAnsi="Times New Roman"/>
                <w:sz w:val="28"/>
                <w:lang w:bidi="en-US"/>
              </w:rPr>
              <w:t>When explaining suspicious reasons, banks should describe the credit entries followed by how the money is being laundered (</w:t>
            </w:r>
            <w:r w:rsidRPr="00474153">
              <w:rPr>
                <w:rFonts w:ascii="Times New Roman" w:hAnsi="Times New Roman"/>
                <w:i/>
                <w:sz w:val="28"/>
                <w:lang w:bidi="en-US"/>
              </w:rPr>
              <w:t>e.g.</w:t>
            </w:r>
            <w:r w:rsidRPr="00474153">
              <w:rPr>
                <w:rFonts w:ascii="Times New Roman" w:hAnsi="Times New Roman"/>
                <w:sz w:val="28"/>
                <w:lang w:bidi="en-US"/>
              </w:rPr>
              <w:t xml:space="preserve"> the debit entries), and the sum of the credit entries shall be reported as the transaction amount.</w:t>
            </w:r>
          </w:p>
        </w:tc>
        <w:tc>
          <w:tcPr>
            <w:tcW w:w="4536" w:type="dxa"/>
            <w:shd w:val="clear" w:color="auto" w:fill="auto"/>
          </w:tcPr>
          <w:p w14:paraId="341B0D93" w14:textId="77777777" w:rsidR="009E3BC0" w:rsidRPr="00474153" w:rsidRDefault="009E3BC0">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9E3BC0" w:rsidRPr="00474153" w14:paraId="2303DB4B" w14:textId="77777777" w:rsidTr="00E419A6">
        <w:tc>
          <w:tcPr>
            <w:tcW w:w="510" w:type="dxa"/>
            <w:shd w:val="clear" w:color="auto" w:fill="auto"/>
          </w:tcPr>
          <w:p w14:paraId="3A1D8143"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41</w:t>
            </w:r>
          </w:p>
        </w:tc>
        <w:tc>
          <w:tcPr>
            <w:tcW w:w="8335" w:type="dxa"/>
            <w:shd w:val="clear" w:color="auto" w:fill="auto"/>
          </w:tcPr>
          <w:p w14:paraId="18F4CA9F" w14:textId="77777777" w:rsidR="009E3BC0" w:rsidRPr="00474153" w:rsidRDefault="009E3BC0">
            <w:pPr>
              <w:jc w:val="both"/>
              <w:rPr>
                <w:rFonts w:ascii="Times New Roman" w:eastAsia="標楷體" w:hAnsi="Times New Roman" w:cs="Times New Roman"/>
                <w:sz w:val="28"/>
                <w:szCs w:val="28"/>
              </w:rPr>
            </w:pPr>
          </w:p>
        </w:tc>
        <w:tc>
          <w:tcPr>
            <w:tcW w:w="8335" w:type="dxa"/>
            <w:shd w:val="clear" w:color="auto" w:fill="auto"/>
          </w:tcPr>
          <w:p w14:paraId="020E0318" w14:textId="77777777" w:rsidR="009E3BC0" w:rsidRPr="00474153" w:rsidRDefault="009E3BC0">
            <w:pPr>
              <w:pStyle w:val="a4"/>
              <w:snapToGrid w:val="0"/>
              <w:spacing w:line="400" w:lineRule="exact"/>
              <w:ind w:leftChars="6" w:left="644" w:hangingChars="225" w:hanging="63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 xml:space="preserve">Q41: The appendix outlines suspicious transaction patterns for the “Product/Service - Trade Financing” category, including Sub-paragraph 2: “Pricing of product/service or the value stated in invoice is significantly different (over- or under-estimated) from </w:t>
            </w:r>
            <w:r w:rsidRPr="00474153">
              <w:rPr>
                <w:rFonts w:ascii="Times New Roman" w:hAnsi="Times New Roman"/>
                <w:color w:val="FF0000"/>
                <w:sz w:val="28"/>
                <w:lang w:bidi="en-US"/>
              </w:rPr>
              <w:lastRenderedPageBreak/>
              <w:t xml:space="preserve">the fair market value.” </w:t>
            </w:r>
          </w:p>
          <w:p w14:paraId="6E994E36" w14:textId="77777777" w:rsidR="009E3BC0" w:rsidRPr="00474153" w:rsidRDefault="009E3BC0">
            <w:pPr>
              <w:pStyle w:val="a4"/>
              <w:numPr>
                <w:ilvl w:val="0"/>
                <w:numId w:val="4"/>
              </w:numPr>
              <w:spacing w:line="400" w:lineRule="exact"/>
              <w:ind w:leftChars="0"/>
              <w:jc w:val="both"/>
              <w:rPr>
                <w:rFonts w:ascii="Times New Roman" w:eastAsia="標楷體" w:hAnsi="Times New Roman"/>
                <w:color w:val="FF0000"/>
                <w:sz w:val="28"/>
                <w:szCs w:val="28"/>
              </w:rPr>
            </w:pPr>
            <w:r w:rsidRPr="00474153">
              <w:rPr>
                <w:rFonts w:ascii="Times New Roman" w:hAnsi="Times New Roman"/>
                <w:color w:val="FF0000"/>
                <w:sz w:val="28"/>
                <w:lang w:bidi="en-US"/>
              </w:rPr>
              <w:t>Does the government have any public information platform that can be used to check a product’s fair market value?</w:t>
            </w:r>
          </w:p>
          <w:p w14:paraId="0A5A6B0E" w14:textId="77777777" w:rsidR="009E3BC0" w:rsidRPr="00474153" w:rsidRDefault="009E3BC0">
            <w:pPr>
              <w:pStyle w:val="a4"/>
              <w:numPr>
                <w:ilvl w:val="0"/>
                <w:numId w:val="4"/>
              </w:numPr>
              <w:spacing w:line="400" w:lineRule="exact"/>
              <w:ind w:leftChars="0"/>
              <w:jc w:val="both"/>
              <w:rPr>
                <w:rFonts w:ascii="Times New Roman" w:eastAsia="標楷體" w:hAnsi="Times New Roman"/>
                <w:color w:val="FF0000"/>
                <w:sz w:val="28"/>
                <w:szCs w:val="28"/>
              </w:rPr>
            </w:pPr>
            <w:r w:rsidRPr="00474153">
              <w:rPr>
                <w:rFonts w:ascii="Times New Roman" w:hAnsi="Times New Roman"/>
                <w:color w:val="FF0000"/>
                <w:sz w:val="28"/>
                <w:lang w:bidi="en-US"/>
              </w:rPr>
              <w:t>The price of import/export would naturally be lower than the market value, not to mention that factors such as customs duty, market demand, gross margin, etc. are all capable of affecting the final price. How should banks determine whether a product is priced significantly above or below the fair market value? Is there a commonly accepted calculation or formula?</w:t>
            </w:r>
          </w:p>
          <w:p w14:paraId="49C99ED3" w14:textId="1275F9FC" w:rsidR="009E3BC0" w:rsidRPr="00474153" w:rsidRDefault="009E3BC0">
            <w:pPr>
              <w:pStyle w:val="a4"/>
              <w:numPr>
                <w:ilvl w:val="0"/>
                <w:numId w:val="4"/>
              </w:numPr>
              <w:spacing w:line="400" w:lineRule="exact"/>
              <w:ind w:leftChars="0"/>
              <w:jc w:val="both"/>
              <w:rPr>
                <w:rFonts w:ascii="Times New Roman" w:eastAsia="標楷體" w:hAnsi="Times New Roman"/>
                <w:color w:val="FF0000"/>
                <w:sz w:val="28"/>
                <w:szCs w:val="28"/>
              </w:rPr>
            </w:pPr>
            <w:r w:rsidRPr="00474153">
              <w:rPr>
                <w:rFonts w:ascii="Times New Roman" w:hAnsi="Times New Roman"/>
                <w:color w:val="FF0000"/>
                <w:sz w:val="28"/>
                <w:lang w:bidi="en-US"/>
              </w:rPr>
              <w:t>Is it mandatory to use government-published information to determine the price rationale? What if the product’s fair market value is unavailable from the open information platform?</w:t>
            </w:r>
          </w:p>
          <w:p w14:paraId="56DEDAF8" w14:textId="77777777" w:rsidR="009E3BC0" w:rsidRPr="00474153" w:rsidRDefault="009E3BC0">
            <w:pPr>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A41:</w:t>
            </w:r>
          </w:p>
          <w:p w14:paraId="3E833F86" w14:textId="77777777" w:rsidR="009E3BC0" w:rsidRPr="00474153" w:rsidRDefault="009E3BC0">
            <w:pPr>
              <w:pStyle w:val="a4"/>
              <w:numPr>
                <w:ilvl w:val="0"/>
                <w:numId w:val="5"/>
              </w:numPr>
              <w:spacing w:line="400" w:lineRule="exact"/>
              <w:ind w:leftChars="0"/>
              <w:jc w:val="both"/>
              <w:rPr>
                <w:rFonts w:ascii="Times New Roman" w:eastAsia="標楷體" w:hAnsi="Times New Roman"/>
                <w:color w:val="FF0000"/>
                <w:sz w:val="28"/>
                <w:szCs w:val="28"/>
              </w:rPr>
            </w:pPr>
            <w:r w:rsidRPr="00474153">
              <w:rPr>
                <w:rFonts w:ascii="Times New Roman" w:hAnsi="Times New Roman"/>
                <w:color w:val="FF0000"/>
                <w:sz w:val="28"/>
                <w:lang w:bidi="en-US"/>
              </w:rPr>
              <w:t>Banks may access the database established by the Customs Administration, Ministry of Finance, and perform searches using appropriate criteria.</w:t>
            </w:r>
          </w:p>
          <w:p w14:paraId="4C28D2F1" w14:textId="77777777" w:rsidR="009E3BC0" w:rsidRPr="00474153" w:rsidRDefault="009E3BC0">
            <w:pPr>
              <w:pStyle w:val="a4"/>
              <w:numPr>
                <w:ilvl w:val="0"/>
                <w:numId w:val="5"/>
              </w:numPr>
              <w:spacing w:line="400" w:lineRule="exact"/>
              <w:ind w:leftChars="0"/>
              <w:jc w:val="both"/>
              <w:rPr>
                <w:rFonts w:ascii="Times New Roman" w:eastAsia="標楷體" w:hAnsi="Times New Roman"/>
                <w:color w:val="FF0000"/>
                <w:sz w:val="28"/>
                <w:szCs w:val="28"/>
              </w:rPr>
            </w:pPr>
            <w:r w:rsidRPr="00474153">
              <w:rPr>
                <w:rFonts w:ascii="Times New Roman" w:hAnsi="Times New Roman"/>
                <w:color w:val="FF0000"/>
                <w:sz w:val="28"/>
                <w:lang w:bidi="en-US"/>
              </w:rPr>
              <w:t>The above website can be used as a reference for frequently imported/exported goods, but should not be used in an absolute manner. The process still relies on the employees’ subjective judgment. Every merchandise is different, therefore it is inappropriate to apply one formula for all.</w:t>
            </w:r>
          </w:p>
          <w:p w14:paraId="55314A88" w14:textId="77777777" w:rsidR="009E3BC0" w:rsidRPr="00474153" w:rsidRDefault="009E3BC0">
            <w:pPr>
              <w:pStyle w:val="a4"/>
              <w:numPr>
                <w:ilvl w:val="0"/>
                <w:numId w:val="5"/>
              </w:numPr>
              <w:spacing w:line="400" w:lineRule="exact"/>
              <w:ind w:leftChars="0"/>
              <w:jc w:val="both"/>
              <w:rPr>
                <w:rFonts w:ascii="Times New Roman" w:eastAsia="標楷體" w:hAnsi="Times New Roman"/>
                <w:color w:val="FF0000"/>
                <w:sz w:val="28"/>
                <w:szCs w:val="28"/>
              </w:rPr>
            </w:pPr>
            <w:r w:rsidRPr="00474153">
              <w:rPr>
                <w:rFonts w:ascii="Times New Roman" w:hAnsi="Times New Roman"/>
                <w:color w:val="FF0000"/>
                <w:sz w:val="28"/>
                <w:lang w:bidi="en-US"/>
              </w:rPr>
              <w:t>Information that can be used to determine the price rationale is not limited to government sources; banks may also accumulate internal database through daily transactions or use other references to assist in the decision-making.</w:t>
            </w:r>
          </w:p>
        </w:tc>
        <w:tc>
          <w:tcPr>
            <w:tcW w:w="4536" w:type="dxa"/>
            <w:shd w:val="clear" w:color="auto" w:fill="auto"/>
          </w:tcPr>
          <w:p w14:paraId="5F051B38" w14:textId="77777777" w:rsidR="009E3BC0" w:rsidRPr="00474153" w:rsidRDefault="009E3BC0" w:rsidP="00A56215">
            <w:pPr>
              <w:pStyle w:val="a4"/>
              <w:numPr>
                <w:ilvl w:val="0"/>
                <w:numId w:val="126"/>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lastRenderedPageBreak/>
              <w:t>This question is deleted.</w:t>
            </w:r>
          </w:p>
          <w:p w14:paraId="61F22F0C" w14:textId="77777777" w:rsidR="009E3BC0" w:rsidRPr="00474153" w:rsidRDefault="009E3BC0" w:rsidP="00A56215">
            <w:pPr>
              <w:pStyle w:val="a4"/>
              <w:numPr>
                <w:ilvl w:val="0"/>
                <w:numId w:val="126"/>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 xml:space="preserve">Since a detailed description is given in Subparagraph 2, Note 3 of appendix 2 of the “Bank’s </w:t>
            </w:r>
            <w:r w:rsidRPr="00474153">
              <w:rPr>
                <w:rFonts w:ascii="Times New Roman" w:hAnsi="Times New Roman"/>
                <w:sz w:val="28"/>
                <w:lang w:bidi="en-US"/>
              </w:rPr>
              <w:lastRenderedPageBreak/>
              <w:t>Trade Anti-Money Laundering Practice” has been explained, this question is deleted</w:t>
            </w:r>
          </w:p>
        </w:tc>
      </w:tr>
      <w:tr w:rsidR="009E3BC0" w:rsidRPr="00474153" w14:paraId="6EFF76E3" w14:textId="77777777" w:rsidTr="00E419A6">
        <w:tc>
          <w:tcPr>
            <w:tcW w:w="510" w:type="dxa"/>
            <w:shd w:val="clear" w:color="auto" w:fill="auto"/>
          </w:tcPr>
          <w:p w14:paraId="6600905B"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42</w:t>
            </w:r>
          </w:p>
        </w:tc>
        <w:tc>
          <w:tcPr>
            <w:tcW w:w="8335" w:type="dxa"/>
            <w:shd w:val="clear" w:color="auto" w:fill="auto"/>
          </w:tcPr>
          <w:p w14:paraId="3EAED12B" w14:textId="57A6BB36" w:rsidR="009E3BC0" w:rsidRPr="00474153" w:rsidRDefault="009E3BC0">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35</w:t>
            </w:r>
            <w:r w:rsidRPr="00474153">
              <w:rPr>
                <w:rFonts w:ascii="Times New Roman" w:hAnsi="Times New Roman"/>
                <w:sz w:val="28"/>
                <w:lang w:bidi="en-US"/>
              </w:rPr>
              <w:t>: The appendix outlines suspicious transaction patterns for the “Product/Service - Trade Financing” category, including Subparagraph 4: “The letters of credit used in transactions are frequently or unreasonably revised, postponed, or changed payment locations without giving a reasonable explanation.” How to deal with such a situation?</w:t>
            </w:r>
          </w:p>
          <w:p w14:paraId="539B3DDB" w14:textId="3268E03C" w:rsidR="009E3BC0" w:rsidRPr="00474153" w:rsidRDefault="009E3BC0">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35</w:t>
            </w:r>
            <w:r w:rsidRPr="00474153">
              <w:rPr>
                <w:rFonts w:ascii="Times New Roman" w:hAnsi="Times New Roman" w:cs="Times New Roman"/>
                <w:sz w:val="28"/>
                <w:lang w:bidi="en-US"/>
              </w:rPr>
              <w:t>:</w:t>
            </w:r>
          </w:p>
          <w:p w14:paraId="05A0CF3B" w14:textId="530401D3"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Change of L/C details or forfeiting terms may alter the source of the </w:t>
            </w:r>
            <w:r w:rsidRPr="00474153">
              <w:rPr>
                <w:rFonts w:ascii="Times New Roman" w:hAnsi="Times New Roman" w:cs="Times New Roman"/>
                <w:sz w:val="28"/>
                <w:lang w:bidi="en-US"/>
              </w:rPr>
              <w:lastRenderedPageBreak/>
              <w:t>capital for the underlying trade financing transaction. For example, the payment may originate from a country, region or party with a higher risk after the change.</w:t>
            </w:r>
          </w:p>
        </w:tc>
        <w:tc>
          <w:tcPr>
            <w:tcW w:w="8335" w:type="dxa"/>
            <w:shd w:val="clear" w:color="auto" w:fill="auto"/>
          </w:tcPr>
          <w:p w14:paraId="053AC7A7" w14:textId="77777777" w:rsidR="009E3BC0" w:rsidRPr="00474153" w:rsidRDefault="009E3BC0">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42</w:t>
            </w:r>
            <w:r w:rsidRPr="00474153">
              <w:rPr>
                <w:rFonts w:ascii="Times New Roman" w:hAnsi="Times New Roman"/>
                <w:sz w:val="28"/>
                <w:lang w:bidi="en-US"/>
              </w:rPr>
              <w:t>: The appendix outlines suspicious transaction patterns for the “Product/Service - Trade Financing” category, including Subparagraph 4: “The letters of credit used in transactions are frequently or unreasonably revised, postponed, or changed payment locations without giving a reasonable explanation.” How to deal with such a situation?</w:t>
            </w:r>
          </w:p>
          <w:p w14:paraId="3B0A1481" w14:textId="77777777" w:rsidR="009E3BC0" w:rsidRPr="00474153" w:rsidRDefault="009E3BC0">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42</w:t>
            </w:r>
            <w:r w:rsidRPr="00474153">
              <w:rPr>
                <w:rFonts w:ascii="Times New Roman" w:hAnsi="Times New Roman" w:cs="Times New Roman"/>
                <w:sz w:val="28"/>
                <w:lang w:bidi="en-US"/>
              </w:rPr>
              <w:t>:</w:t>
            </w:r>
          </w:p>
          <w:p w14:paraId="0CC1739B" w14:textId="5BC6EE3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Change of L/C details or forfeiting terms may alter the source of the </w:t>
            </w:r>
            <w:r w:rsidRPr="00474153">
              <w:rPr>
                <w:rFonts w:ascii="Times New Roman" w:hAnsi="Times New Roman" w:cs="Times New Roman"/>
                <w:sz w:val="28"/>
                <w:lang w:bidi="en-US"/>
              </w:rPr>
              <w:lastRenderedPageBreak/>
              <w:t>capital for the underlying trade financing transaction. For example, the payment may originate from a country, region or party with a higher risk after the change.</w:t>
            </w:r>
          </w:p>
        </w:tc>
        <w:tc>
          <w:tcPr>
            <w:tcW w:w="4536" w:type="dxa"/>
            <w:shd w:val="clear" w:color="auto" w:fill="auto"/>
          </w:tcPr>
          <w:p w14:paraId="747CB382" w14:textId="77777777" w:rsidR="009E3BC0" w:rsidRPr="00474153" w:rsidRDefault="009E3BC0">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9E3BC0" w:rsidRPr="00474153" w14:paraId="52BFE5E5" w14:textId="77777777" w:rsidTr="00E419A6">
        <w:tc>
          <w:tcPr>
            <w:tcW w:w="510" w:type="dxa"/>
            <w:shd w:val="clear" w:color="auto" w:fill="auto"/>
          </w:tcPr>
          <w:p w14:paraId="5980DB9F"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43</w:t>
            </w:r>
          </w:p>
        </w:tc>
        <w:tc>
          <w:tcPr>
            <w:tcW w:w="8335" w:type="dxa"/>
            <w:shd w:val="clear" w:color="auto" w:fill="auto"/>
          </w:tcPr>
          <w:p w14:paraId="3F765806" w14:textId="7C6F1A8F" w:rsidR="009E3BC0" w:rsidRPr="00474153" w:rsidRDefault="009E3BC0">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36</w:t>
            </w:r>
            <w:r w:rsidRPr="00474153">
              <w:rPr>
                <w:rFonts w:ascii="Times New Roman" w:hAnsi="Times New Roman"/>
                <w:sz w:val="28"/>
                <w:lang w:bidi="en-US"/>
              </w:rPr>
              <w:t>: The appendix outlines suspicious transaction patterns for the “Product/Service - Trade Financing” category, including Subparagraph 5: “Using the L/C without actual trade activity, bill discounting or offshore financing.” What is meant by “L/C without actual trade activity” and “offshore financing?”</w:t>
            </w:r>
          </w:p>
          <w:p w14:paraId="3A1BC249" w14:textId="4D5AEC11"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36</w:t>
            </w:r>
            <w:r w:rsidRPr="00474153">
              <w:rPr>
                <w:rFonts w:ascii="Times New Roman" w:hAnsi="Times New Roman" w:cs="Times New Roman"/>
                <w:sz w:val="28"/>
                <w:lang w:bidi="en-US"/>
              </w:rPr>
              <w:t>:</w:t>
            </w:r>
          </w:p>
          <w:p w14:paraId="55F937C5" w14:textId="7777777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Most L/Cs are issued based on the actual exchange of goods, which means that there are documents that banks can use to check the pricing rationale and the authenticity of the underlying transaction. In practice, however, not all trade financing services involve the use of fully documented L/Cs. Customers that approach banks for trade financing using L/Cs or notes issued abroad without supporting document would make it difficult for banks to establish the underlying transaction.</w:t>
            </w:r>
          </w:p>
        </w:tc>
        <w:tc>
          <w:tcPr>
            <w:tcW w:w="8335" w:type="dxa"/>
            <w:shd w:val="clear" w:color="auto" w:fill="auto"/>
          </w:tcPr>
          <w:p w14:paraId="54DD64D2" w14:textId="77777777" w:rsidR="009E3BC0" w:rsidRPr="00474153" w:rsidRDefault="009E3BC0">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43</w:t>
            </w:r>
            <w:r w:rsidRPr="00474153">
              <w:rPr>
                <w:rFonts w:ascii="Times New Roman" w:hAnsi="Times New Roman"/>
                <w:sz w:val="28"/>
                <w:lang w:bidi="en-US"/>
              </w:rPr>
              <w:t>: The appendix outlines suspicious transaction patterns for the “Product/Service - Trade Financing” category, including Subparagraph 5: “Using the L/C without actual trade activity, bill discounting or offshore financing.” What is meant by “L/C without actual trade activity” and “offshore financing?”</w:t>
            </w:r>
          </w:p>
          <w:p w14:paraId="4C71A77A" w14:textId="7777777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43</w:t>
            </w:r>
            <w:r w:rsidRPr="00474153">
              <w:rPr>
                <w:rFonts w:ascii="Times New Roman" w:hAnsi="Times New Roman" w:cs="Times New Roman"/>
                <w:sz w:val="28"/>
                <w:lang w:bidi="en-US"/>
              </w:rPr>
              <w:t>:</w:t>
            </w:r>
          </w:p>
          <w:p w14:paraId="3F32CF55" w14:textId="7777777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Most L/Cs are issued based on the actual exchange of goods, which means that there are documents that banks can use to check the pricing rationale and the authenticity of the underlying transaction. In practice, however, not all trade financing services involve the use of fully documented L/Cs. Customers that approach banks for trade financing using L/Cs or notes issued abroad without supporting document would make it difficult for banks to establish the underlying transaction.</w:t>
            </w:r>
          </w:p>
        </w:tc>
        <w:tc>
          <w:tcPr>
            <w:tcW w:w="4536" w:type="dxa"/>
            <w:shd w:val="clear" w:color="auto" w:fill="auto"/>
          </w:tcPr>
          <w:p w14:paraId="1B48CBD2" w14:textId="7777777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9E3BC0" w:rsidRPr="00474153" w14:paraId="18014834" w14:textId="77777777" w:rsidTr="00E419A6">
        <w:tc>
          <w:tcPr>
            <w:tcW w:w="510" w:type="dxa"/>
            <w:shd w:val="clear" w:color="auto" w:fill="auto"/>
          </w:tcPr>
          <w:p w14:paraId="26E35B48"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44</w:t>
            </w:r>
          </w:p>
        </w:tc>
        <w:tc>
          <w:tcPr>
            <w:tcW w:w="8335" w:type="dxa"/>
            <w:shd w:val="clear" w:color="auto" w:fill="auto"/>
          </w:tcPr>
          <w:p w14:paraId="7B31B1DE" w14:textId="77777777" w:rsidR="009E3BC0" w:rsidRPr="00474153" w:rsidRDefault="009E3BC0">
            <w:pPr>
              <w:jc w:val="both"/>
              <w:rPr>
                <w:rFonts w:ascii="Times New Roman" w:eastAsia="標楷體" w:hAnsi="Times New Roman" w:cs="Times New Roman"/>
                <w:sz w:val="28"/>
                <w:szCs w:val="28"/>
              </w:rPr>
            </w:pPr>
          </w:p>
        </w:tc>
        <w:tc>
          <w:tcPr>
            <w:tcW w:w="8335" w:type="dxa"/>
            <w:shd w:val="clear" w:color="auto" w:fill="auto"/>
          </w:tcPr>
          <w:p w14:paraId="3C819440" w14:textId="77777777"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Q44: The appendix outlines suspicious transaction patterns for the “Product/Service - Correspondent Banking” category, including rapid increase in the amount and frequency of cash deposit, cash transportation and deposit size of the correspondent bank. However, banks do not necessarily know the size of deposits of their correspondent banking partners (such as the case of RMA), and may not engage in cash transportation at all. Under such circumstances, does the “correspondent bank” in the appendix include the RMA relationship?</w:t>
            </w:r>
          </w:p>
          <w:p w14:paraId="522125CE" w14:textId="77777777" w:rsidR="009E3BC0" w:rsidRPr="00474153" w:rsidRDefault="009E3BC0">
            <w:pPr>
              <w:ind w:left="580" w:hangingChars="207" w:hanging="580"/>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A44:</w:t>
            </w:r>
          </w:p>
          <w:p w14:paraId="5CB41F69" w14:textId="77777777" w:rsidR="009E3BC0" w:rsidRPr="00474153" w:rsidRDefault="009E3BC0">
            <w:pPr>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 xml:space="preserve">Section 13 of FATF GUIDANCE ON CORRESPONDENT BANKING SERVICES reads: “Correspondent banking does not include one-off transactions or the mere exchange of SWIFT Relationship Management Application keys (RMA) in the context of non-customer relationships, but rather is characterized by its on-going, repetitive nature.” Non-account and non-customer RMA has been excluded from the FATF’s guidance on correspondent banking services, and therefore should be </w:t>
            </w:r>
            <w:r w:rsidRPr="00474153">
              <w:rPr>
                <w:rFonts w:ascii="Times New Roman" w:hAnsi="Times New Roman" w:cs="Times New Roman"/>
                <w:color w:val="FF0000"/>
                <w:sz w:val="28"/>
                <w:lang w:bidi="en-US"/>
              </w:rPr>
              <w:lastRenderedPageBreak/>
              <w:t>excluded from the “Product/Service - Correspondent Banking.”</w:t>
            </w:r>
          </w:p>
        </w:tc>
        <w:tc>
          <w:tcPr>
            <w:tcW w:w="4536" w:type="dxa"/>
            <w:shd w:val="clear" w:color="auto" w:fill="auto"/>
          </w:tcPr>
          <w:p w14:paraId="0525D53E" w14:textId="77777777" w:rsidR="009E3BC0" w:rsidRPr="00474153" w:rsidRDefault="009E3BC0" w:rsidP="00A56215">
            <w:pPr>
              <w:pStyle w:val="a4"/>
              <w:numPr>
                <w:ilvl w:val="0"/>
                <w:numId w:val="127"/>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lastRenderedPageBreak/>
              <w:t>This question is deleted.</w:t>
            </w:r>
          </w:p>
          <w:p w14:paraId="177253B0" w14:textId="77777777" w:rsidR="009E3BC0" w:rsidRPr="00474153" w:rsidRDefault="009E3BC0" w:rsidP="00A56215">
            <w:pPr>
              <w:pStyle w:val="a4"/>
              <w:numPr>
                <w:ilvl w:val="0"/>
                <w:numId w:val="127"/>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Since the correspondent banking service is detailed in Question 3 of the “Reference for Questions in Bank’s Independent Transaction Tests and Corresponding Bank Accounts” announced by the Financial Supervisory Commission with Letter No. Jin-Guan-Yin-Fa-Zi No. 10801049540 issued on April 23, 2019.</w:t>
            </w:r>
          </w:p>
        </w:tc>
      </w:tr>
      <w:tr w:rsidR="009E3BC0" w:rsidRPr="00474153" w14:paraId="4CDCC991" w14:textId="77777777" w:rsidTr="00E419A6">
        <w:tc>
          <w:tcPr>
            <w:tcW w:w="510" w:type="dxa"/>
            <w:shd w:val="clear" w:color="auto" w:fill="auto"/>
          </w:tcPr>
          <w:p w14:paraId="043BAE63"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45</w:t>
            </w:r>
          </w:p>
        </w:tc>
        <w:tc>
          <w:tcPr>
            <w:tcW w:w="8335" w:type="dxa"/>
            <w:shd w:val="clear" w:color="auto" w:fill="auto"/>
          </w:tcPr>
          <w:p w14:paraId="009DC7FD" w14:textId="341F156E"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37</w:t>
            </w:r>
            <w:r w:rsidRPr="00474153">
              <w:rPr>
                <w:rFonts w:ascii="Times New Roman" w:hAnsi="Times New Roman"/>
                <w:sz w:val="28"/>
                <w:lang w:bidi="en-US"/>
              </w:rPr>
              <w:t>: The appendix did not outline suspicious transaction patterns for derivatives or money trade financing services. Can it be provided?</w:t>
            </w:r>
          </w:p>
          <w:p w14:paraId="400DD4FB" w14:textId="2785DADB" w:rsidR="009E3BC0" w:rsidRPr="00474153" w:rsidRDefault="009E3BC0">
            <w:pPr>
              <w:ind w:left="641" w:hangingChars="229" w:hanging="641"/>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37</w:t>
            </w:r>
            <w:r w:rsidRPr="00474153">
              <w:rPr>
                <w:rFonts w:ascii="Times New Roman" w:hAnsi="Times New Roman" w:cs="Times New Roman"/>
                <w:sz w:val="28"/>
                <w:lang w:bidi="en-US"/>
              </w:rPr>
              <w:t>:</w:t>
            </w:r>
          </w:p>
          <w:p w14:paraId="6DB07121" w14:textId="7777777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Users may refer to the pattern described in Sub-paragraph 5 of the “Product/Service - OBU” category, where a “Customer makes frequent and substantial purchases of offshore structured products within a certain period that do not conform with the customer’s needs,” and apply this concept to the monitoring of other financial products.</w:t>
            </w:r>
          </w:p>
        </w:tc>
        <w:tc>
          <w:tcPr>
            <w:tcW w:w="8335" w:type="dxa"/>
            <w:shd w:val="clear" w:color="auto" w:fill="auto"/>
          </w:tcPr>
          <w:p w14:paraId="24F10363" w14:textId="77777777"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45</w:t>
            </w:r>
            <w:r w:rsidRPr="00474153">
              <w:rPr>
                <w:rFonts w:ascii="Times New Roman" w:hAnsi="Times New Roman"/>
                <w:sz w:val="28"/>
                <w:lang w:bidi="en-US"/>
              </w:rPr>
              <w:t>: The appendix did not outline suspicious transaction patterns for derivatives or money trade financing services, can it be provided?</w:t>
            </w:r>
          </w:p>
          <w:p w14:paraId="4D1BC54E" w14:textId="77777777" w:rsidR="009E3BC0" w:rsidRPr="00474153" w:rsidRDefault="009E3BC0">
            <w:pPr>
              <w:ind w:left="641" w:hangingChars="229" w:hanging="641"/>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45</w:t>
            </w:r>
            <w:r w:rsidRPr="00474153">
              <w:rPr>
                <w:rFonts w:ascii="Times New Roman" w:hAnsi="Times New Roman" w:cs="Times New Roman"/>
                <w:sz w:val="28"/>
                <w:lang w:bidi="en-US"/>
              </w:rPr>
              <w:t>:</w:t>
            </w:r>
          </w:p>
          <w:p w14:paraId="3D6D2118" w14:textId="77777777" w:rsidR="009E3BC0" w:rsidRPr="00474153" w:rsidRDefault="009E3BC0">
            <w:pPr>
              <w:jc w:val="both"/>
              <w:rPr>
                <w:rFonts w:ascii="Times New Roman" w:eastAsia="標楷體" w:hAnsi="Times New Roman" w:cs="Times New Roman"/>
                <w:sz w:val="28"/>
                <w:szCs w:val="28"/>
              </w:rPr>
            </w:pPr>
            <w:r w:rsidRPr="00474153">
              <w:rPr>
                <w:rFonts w:ascii="Times New Roman" w:hAnsi="Times New Roman" w:cs="Times New Roman"/>
                <w:sz w:val="28"/>
                <w:lang w:bidi="en-US"/>
              </w:rPr>
              <w:t>Users may refer to the pattern described in Sub-paragraph 5 of the “Product/Service - OBU” category, where a “Customer makes frequent and substantial purchases of offshore structured products within a certain period that do not conform with the customer’s needs,” and apply this concept to the monitoring of other financial products.</w:t>
            </w:r>
          </w:p>
        </w:tc>
        <w:tc>
          <w:tcPr>
            <w:tcW w:w="4536" w:type="dxa"/>
            <w:shd w:val="clear" w:color="auto" w:fill="auto"/>
          </w:tcPr>
          <w:p w14:paraId="1E9B74CE" w14:textId="77777777" w:rsidR="009E3BC0" w:rsidRPr="00474153" w:rsidRDefault="009E3BC0">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9E3BC0" w:rsidRPr="00474153" w14:paraId="0C60764D" w14:textId="77777777" w:rsidTr="00E419A6">
        <w:tc>
          <w:tcPr>
            <w:tcW w:w="510" w:type="dxa"/>
            <w:shd w:val="clear" w:color="auto" w:fill="auto"/>
          </w:tcPr>
          <w:p w14:paraId="4D2DAB7F" w14:textId="77777777" w:rsidR="009E3BC0" w:rsidRPr="00474153" w:rsidRDefault="009E3BC0">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46</w:t>
            </w:r>
          </w:p>
        </w:tc>
        <w:tc>
          <w:tcPr>
            <w:tcW w:w="8335" w:type="dxa"/>
            <w:shd w:val="clear" w:color="auto" w:fill="auto"/>
          </w:tcPr>
          <w:p w14:paraId="6C190F96" w14:textId="77777777" w:rsidR="009E3BC0" w:rsidRPr="00474153" w:rsidRDefault="009E3BC0">
            <w:pPr>
              <w:jc w:val="both"/>
              <w:rPr>
                <w:rFonts w:ascii="Times New Roman" w:eastAsia="標楷體" w:hAnsi="Times New Roman" w:cs="Times New Roman"/>
                <w:sz w:val="28"/>
                <w:szCs w:val="28"/>
              </w:rPr>
            </w:pPr>
          </w:p>
        </w:tc>
        <w:tc>
          <w:tcPr>
            <w:tcW w:w="8335" w:type="dxa"/>
            <w:shd w:val="clear" w:color="auto" w:fill="auto"/>
          </w:tcPr>
          <w:p w14:paraId="1877CF47" w14:textId="77777777" w:rsidR="009E3BC0" w:rsidRPr="00474153" w:rsidRDefault="009E3BC0">
            <w:pPr>
              <w:pStyle w:val="a4"/>
              <w:snapToGrid w:val="0"/>
              <w:spacing w:line="400" w:lineRule="exact"/>
              <w:ind w:leftChars="6" w:left="714" w:hangingChars="250" w:hanging="70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Q46: Are banks required to monitor suspicious ML/TF patterns listed in the appendix using an information system or are banks allowed to adopt a manual, risk-based control approach?</w:t>
            </w:r>
          </w:p>
          <w:p w14:paraId="47578BEB" w14:textId="77777777" w:rsidR="009E3BC0" w:rsidRPr="00474153" w:rsidRDefault="009E3BC0">
            <w:pPr>
              <w:ind w:left="641" w:hangingChars="229" w:hanging="641"/>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A46:</w:t>
            </w:r>
          </w:p>
          <w:p w14:paraId="049F87E6" w14:textId="77777777" w:rsidR="009E3BC0" w:rsidRPr="00474153" w:rsidRDefault="009E3BC0">
            <w:pPr>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According to Subparagraph 9, Paragraph 1, Article 9 of the Model Guidelines, “Banks shall adopt a risk-based approach to monitoring suspicious ML/TF patterns and develop an information system to assist in the process. Banks that do not use information systems to assist with the process shall adopt other solutions that may help employees identify suspicious ML/TF transactions when dealing with customers. ” It means that banks are free to determine the most suitable monitoring approach after analyzing their distinctive risk profiles and taking into account factors such as transaction volume, pattern or effectiveness of monitoring measures.</w:t>
            </w:r>
          </w:p>
        </w:tc>
        <w:tc>
          <w:tcPr>
            <w:tcW w:w="4536" w:type="dxa"/>
            <w:shd w:val="clear" w:color="auto" w:fill="auto"/>
          </w:tcPr>
          <w:p w14:paraId="1A56BB69" w14:textId="2CA1502F" w:rsidR="009E3BC0" w:rsidRPr="00474153" w:rsidRDefault="002D275D" w:rsidP="00A56215">
            <w:pPr>
              <w:rPr>
                <w:rFonts w:ascii="Times New Roman" w:eastAsia="標楷體" w:hAnsi="Times New Roman" w:cs="Times New Roman"/>
                <w:sz w:val="28"/>
                <w:szCs w:val="28"/>
              </w:rPr>
            </w:pPr>
            <w:r w:rsidRPr="00474153">
              <w:rPr>
                <w:rFonts w:ascii="Times New Roman" w:hAnsi="Times New Roman" w:cs="Times New Roman"/>
                <w:sz w:val="28"/>
                <w:lang w:bidi="en-US"/>
              </w:rPr>
              <w:t>This question has been merged into Q33; therefore, this question has been deleted.</w:t>
            </w:r>
          </w:p>
        </w:tc>
      </w:tr>
    </w:tbl>
    <w:p w14:paraId="6BA72290" w14:textId="77777777" w:rsidR="00ED3E66" w:rsidRPr="00474153" w:rsidRDefault="00ED3E66">
      <w:pPr>
        <w:rPr>
          <w:rFonts w:ascii="Times New Roman" w:eastAsia="標楷體" w:hAnsi="Times New Roman" w:cs="Times New Roman"/>
          <w:sz w:val="28"/>
          <w:szCs w:val="28"/>
        </w:rPr>
      </w:pPr>
      <w:r w:rsidRPr="00474153">
        <w:rPr>
          <w:rFonts w:ascii="Times New Roman" w:hAnsi="Times New Roman" w:cs="Times New Roman"/>
          <w:sz w:val="28"/>
          <w:lang w:bidi="en-US"/>
        </w:rPr>
        <w:br w:type="page"/>
      </w:r>
    </w:p>
    <w:p w14:paraId="05E5F02B" w14:textId="77777777" w:rsidR="008B1038" w:rsidRPr="00474153" w:rsidRDefault="003820CA">
      <w:pP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5. Personnel qualification</w:t>
      </w:r>
    </w:p>
    <w:p w14:paraId="613B4CDA" w14:textId="77777777" w:rsidR="00AC704C" w:rsidRPr="00474153" w:rsidRDefault="00AC704C">
      <w:pPr>
        <w:rPr>
          <w:rFonts w:ascii="Times New Roman" w:eastAsia="標楷體" w:hAnsi="Times New Roman" w:cs="Times New Roman"/>
          <w:sz w:val="28"/>
          <w:szCs w:val="28"/>
        </w:rPr>
      </w:pPr>
    </w:p>
    <w:tbl>
      <w:tblPr>
        <w:tblStyle w:val="a3"/>
        <w:tblW w:w="0" w:type="auto"/>
        <w:tblLayout w:type="fixed"/>
        <w:tblLook w:val="04A0" w:firstRow="1" w:lastRow="0" w:firstColumn="1" w:lastColumn="0" w:noHBand="0" w:noVBand="1"/>
      </w:tblPr>
      <w:tblGrid>
        <w:gridCol w:w="510"/>
        <w:gridCol w:w="8335"/>
        <w:gridCol w:w="8335"/>
        <w:gridCol w:w="4536"/>
      </w:tblGrid>
      <w:tr w:rsidR="00DA1CAE" w:rsidRPr="00474153" w14:paraId="07D55985" w14:textId="77777777" w:rsidTr="00E419A6">
        <w:trPr>
          <w:tblHeader/>
        </w:trPr>
        <w:tc>
          <w:tcPr>
            <w:tcW w:w="510" w:type="dxa"/>
            <w:shd w:val="clear" w:color="auto" w:fill="auto"/>
          </w:tcPr>
          <w:p w14:paraId="3B003FFB" w14:textId="77777777" w:rsidR="00DA1CAE" w:rsidRPr="00474153" w:rsidRDefault="00DA1CAE">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w:t>
            </w:r>
          </w:p>
        </w:tc>
        <w:tc>
          <w:tcPr>
            <w:tcW w:w="8335" w:type="dxa"/>
            <w:shd w:val="clear" w:color="auto" w:fill="auto"/>
          </w:tcPr>
          <w:p w14:paraId="13A35288" w14:textId="77777777" w:rsidR="00DA1CAE" w:rsidRPr="00474153" w:rsidRDefault="004506DA">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Corrected Q&amp;A</w:t>
            </w:r>
          </w:p>
        </w:tc>
        <w:tc>
          <w:tcPr>
            <w:tcW w:w="8335" w:type="dxa"/>
            <w:shd w:val="clear" w:color="auto" w:fill="auto"/>
          </w:tcPr>
          <w:p w14:paraId="7BA1F6C8" w14:textId="77777777" w:rsidR="00DA1CAE" w:rsidRPr="00474153" w:rsidRDefault="004506DA">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Current answer</w:t>
            </w:r>
          </w:p>
        </w:tc>
        <w:tc>
          <w:tcPr>
            <w:tcW w:w="4536" w:type="dxa"/>
            <w:shd w:val="clear" w:color="auto" w:fill="auto"/>
          </w:tcPr>
          <w:p w14:paraId="0F854C86" w14:textId="77777777" w:rsidR="00DA1CAE" w:rsidRPr="00474153" w:rsidRDefault="00DA1CAE">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Description</w:t>
            </w:r>
          </w:p>
        </w:tc>
      </w:tr>
      <w:tr w:rsidR="00983B98" w:rsidRPr="00474153" w14:paraId="4F0CCC27" w14:textId="77777777" w:rsidTr="00E419A6">
        <w:tc>
          <w:tcPr>
            <w:tcW w:w="510" w:type="dxa"/>
            <w:shd w:val="clear" w:color="auto" w:fill="auto"/>
          </w:tcPr>
          <w:p w14:paraId="1ED7F692" w14:textId="77777777" w:rsidR="00983B98"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47</w:t>
            </w:r>
          </w:p>
        </w:tc>
        <w:tc>
          <w:tcPr>
            <w:tcW w:w="8335" w:type="dxa"/>
            <w:shd w:val="clear" w:color="auto" w:fill="auto"/>
          </w:tcPr>
          <w:p w14:paraId="5E1AFBCE" w14:textId="379D8AD2" w:rsidR="00983B98" w:rsidRPr="00474153" w:rsidRDefault="00983B98">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F61791" w:rsidRPr="00474153">
              <w:rPr>
                <w:rFonts w:ascii="Times New Roman" w:hAnsi="Times New Roman"/>
                <w:color w:val="FF0000"/>
                <w:sz w:val="28"/>
                <w:u w:val="single"/>
                <w:lang w:bidi="en-US"/>
              </w:rPr>
              <w:t>38</w:t>
            </w:r>
            <w:r w:rsidRPr="00474153">
              <w:rPr>
                <w:rFonts w:ascii="Times New Roman" w:hAnsi="Times New Roman"/>
                <w:sz w:val="28"/>
                <w:lang w:bidi="en-US"/>
              </w:rPr>
              <w:t xml:space="preserve">: </w:t>
            </w:r>
            <w:r w:rsidR="00070761" w:rsidRPr="00474153">
              <w:rPr>
                <w:rFonts w:ascii="Times New Roman" w:hAnsi="Times New Roman"/>
                <w:sz w:val="28"/>
                <w:lang w:bidi="en-US"/>
              </w:rPr>
              <w:t>According to</w:t>
            </w:r>
            <w:r w:rsidRPr="00474153">
              <w:rPr>
                <w:rFonts w:ascii="Times New Roman" w:hAnsi="Times New Roman"/>
                <w:sz w:val="28"/>
                <w:lang w:bidi="en-US"/>
              </w:rPr>
              <w:t xml:space="preserve"> Subparagraph 2, Paragraph </w:t>
            </w:r>
            <w:r w:rsidRPr="00474153">
              <w:rPr>
                <w:rFonts w:ascii="Times New Roman" w:hAnsi="Times New Roman"/>
                <w:color w:val="FF0000"/>
                <w:sz w:val="28"/>
                <w:u w:val="single"/>
                <w:lang w:bidi="en-US"/>
              </w:rPr>
              <w:t>2</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Article 18</w:t>
            </w:r>
            <w:r w:rsidRPr="00474153">
              <w:rPr>
                <w:rFonts w:ascii="Times New Roman" w:hAnsi="Times New Roman"/>
                <w:sz w:val="28"/>
                <w:lang w:bidi="en-US"/>
              </w:rPr>
              <w:t xml:space="preserve"> of the Model Guidelines, one of the requirements for the bank’s AML/CFT officers, specialists, and domestic business department supervisors to be qualified for the position is: “Completed at least 24 hours of course organized by FSC-approved institutions and had passed the examination with a certificate of completion obtained. However, the qualified compliance personnel is deemed to qualify the requirements stated in this Subparagraph after completing the 12-hour AML/CFT training and education organized by the FSC-approved institution. ” If employees have completed 12 hours of AML/CFT training organized by FSC-approved institutions prior to being qualified for compliance personnel, would they be considered as having met the above condition?</w:t>
            </w:r>
          </w:p>
          <w:p w14:paraId="4C3AF397" w14:textId="7A9DCDAE" w:rsidR="00983B98" w:rsidRPr="00474153" w:rsidRDefault="00983B98">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F61791" w:rsidRPr="00474153">
              <w:rPr>
                <w:rFonts w:ascii="Times New Roman" w:hAnsi="Times New Roman" w:cs="Times New Roman"/>
                <w:color w:val="FF0000"/>
                <w:sz w:val="28"/>
                <w:u w:val="single"/>
                <w:lang w:bidi="en-US"/>
              </w:rPr>
              <w:t>38</w:t>
            </w:r>
            <w:r w:rsidRPr="00474153">
              <w:rPr>
                <w:rFonts w:ascii="Times New Roman" w:hAnsi="Times New Roman" w:cs="Times New Roman"/>
                <w:sz w:val="28"/>
                <w:lang w:bidi="en-US"/>
              </w:rPr>
              <w:t>:</w:t>
            </w:r>
          </w:p>
          <w:p w14:paraId="0C9FB4F6" w14:textId="77777777" w:rsidR="00983B98" w:rsidRPr="00474153" w:rsidRDefault="00983B98">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According to the proviso of Subparagraph 2, Paragraph </w:t>
            </w:r>
            <w:r w:rsidRPr="00474153">
              <w:rPr>
                <w:rFonts w:ascii="Times New Roman" w:hAnsi="Times New Roman" w:cs="Times New Roman"/>
                <w:color w:val="FF0000"/>
                <w:sz w:val="28"/>
                <w:u w:val="single"/>
                <w:lang w:bidi="en-US"/>
              </w:rPr>
              <w:t>2</w:t>
            </w:r>
            <w:r w:rsidRPr="00474153">
              <w:rPr>
                <w:rFonts w:ascii="Times New Roman" w:hAnsi="Times New Roman" w:cs="Times New Roman"/>
                <w:sz w:val="28"/>
                <w:lang w:bidi="en-US"/>
              </w:rPr>
              <w:t>, Article 1</w:t>
            </w:r>
            <w:r w:rsidRPr="00474153">
              <w:rPr>
                <w:rFonts w:ascii="Times New Roman" w:hAnsi="Times New Roman" w:cs="Times New Roman"/>
                <w:color w:val="FF0000"/>
                <w:sz w:val="28"/>
                <w:u w:val="single"/>
                <w:lang w:bidi="en-US"/>
              </w:rPr>
              <w:t>8</w:t>
            </w:r>
            <w:r w:rsidRPr="00474153">
              <w:rPr>
                <w:rFonts w:ascii="Times New Roman" w:hAnsi="Times New Roman" w:cs="Times New Roman"/>
                <w:sz w:val="28"/>
                <w:lang w:bidi="en-US"/>
              </w:rPr>
              <w:t xml:space="preserve"> of the Model Guidelines, it is necessary to be qualified as compliance personnel first and then complete the 12-hour AML/CTF education and training organized by the FSC-approved institution in order to meet the requirements of qualification outlines in this </w:t>
            </w:r>
            <w:r w:rsidRPr="00474153">
              <w:rPr>
                <w:rFonts w:ascii="Times New Roman" w:hAnsi="Times New Roman" w:cs="Times New Roman"/>
                <w:color w:val="FF0000"/>
                <w:sz w:val="28"/>
                <w:u w:val="single"/>
                <w:lang w:bidi="en-US"/>
              </w:rPr>
              <w:t>Subparagraph</w:t>
            </w:r>
            <w:r w:rsidRPr="00474153">
              <w:rPr>
                <w:rFonts w:ascii="Times New Roman" w:hAnsi="Times New Roman" w:cs="Times New Roman"/>
                <w:sz w:val="28"/>
                <w:lang w:bidi="en-US"/>
              </w:rPr>
              <w:t>.</w:t>
            </w:r>
          </w:p>
        </w:tc>
        <w:tc>
          <w:tcPr>
            <w:tcW w:w="8335" w:type="dxa"/>
            <w:shd w:val="clear" w:color="auto" w:fill="auto"/>
          </w:tcPr>
          <w:p w14:paraId="65EDF152" w14:textId="77777777" w:rsidR="00983B98" w:rsidRPr="00474153" w:rsidRDefault="00983B98">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47</w:t>
            </w:r>
            <w:r w:rsidRPr="00474153">
              <w:rPr>
                <w:rFonts w:ascii="Times New Roman" w:hAnsi="Times New Roman"/>
                <w:sz w:val="28"/>
                <w:lang w:bidi="en-US"/>
              </w:rPr>
              <w:t xml:space="preserve">: According to </w:t>
            </w:r>
            <w:r w:rsidRPr="00474153">
              <w:rPr>
                <w:rFonts w:ascii="Times New Roman" w:hAnsi="Times New Roman"/>
                <w:color w:val="FF0000"/>
                <w:sz w:val="28"/>
                <w:u w:val="single"/>
                <w:lang w:bidi="en-US"/>
              </w:rPr>
              <w:t>Item 2</w:t>
            </w:r>
            <w:r w:rsidRPr="00474153">
              <w:rPr>
                <w:rFonts w:ascii="Times New Roman" w:hAnsi="Times New Roman"/>
                <w:sz w:val="28"/>
                <w:lang w:bidi="en-US"/>
              </w:rPr>
              <w:t xml:space="preserve">, Subparagraph 2, Paragraph </w:t>
            </w:r>
            <w:r w:rsidRPr="00474153">
              <w:rPr>
                <w:rFonts w:ascii="Times New Roman" w:hAnsi="Times New Roman"/>
                <w:color w:val="FF0000"/>
                <w:sz w:val="28"/>
                <w:u w:val="single"/>
                <w:lang w:bidi="en-US"/>
              </w:rPr>
              <w:t>1</w:t>
            </w:r>
            <w:r w:rsidRPr="00474153">
              <w:rPr>
                <w:rFonts w:ascii="Times New Roman" w:hAnsi="Times New Roman"/>
                <w:sz w:val="28"/>
                <w:lang w:bidi="en-US"/>
              </w:rPr>
              <w:t>, Article 1</w:t>
            </w:r>
            <w:r w:rsidRPr="00474153">
              <w:rPr>
                <w:rFonts w:ascii="Times New Roman" w:hAnsi="Times New Roman"/>
                <w:color w:val="FF0000"/>
                <w:sz w:val="28"/>
                <w:u w:val="single"/>
                <w:lang w:bidi="en-US"/>
              </w:rPr>
              <w:t>7</w:t>
            </w:r>
            <w:r w:rsidRPr="00474153">
              <w:rPr>
                <w:rFonts w:ascii="Times New Roman" w:hAnsi="Times New Roman"/>
                <w:sz w:val="28"/>
                <w:lang w:bidi="en-US"/>
              </w:rPr>
              <w:t xml:space="preserve"> of the Model Guidelines, one of the requirements for the bank’s AML/CFT officers, specialists, and domestic business department supervisors to be qualified for the position is: “Completed at least 24 hours of course organized by FSC-approved institutions and had passed the examination with a certificate of completion obtained. However, the qualified compliance personnel is deemed to qualify the requirements stated in this </w:t>
            </w:r>
            <w:r w:rsidRPr="00474153">
              <w:rPr>
                <w:rFonts w:ascii="Times New Roman" w:hAnsi="Times New Roman"/>
                <w:color w:val="FF0000"/>
                <w:sz w:val="28"/>
                <w:u w:val="single"/>
                <w:lang w:bidi="en-US"/>
              </w:rPr>
              <w:t>Item</w:t>
            </w:r>
            <w:r w:rsidRPr="00474153">
              <w:rPr>
                <w:rFonts w:ascii="Times New Roman" w:hAnsi="Times New Roman"/>
                <w:sz w:val="28"/>
                <w:lang w:bidi="en-US"/>
              </w:rPr>
              <w:t xml:space="preserve"> after completing the 12-hour AML/CFT training and education organized by the FSC-approved institution. ” If employees have completed 12 hours of AML/CFT training organized by FSC-approved institutions prior to being qualified for compliance personnel, would they be considered as having met the above condition?</w:t>
            </w:r>
          </w:p>
          <w:p w14:paraId="744FBA37" w14:textId="77777777" w:rsidR="00983B98" w:rsidRPr="00474153" w:rsidRDefault="00983B98">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47</w:t>
            </w:r>
            <w:r w:rsidRPr="00474153">
              <w:rPr>
                <w:rFonts w:ascii="Times New Roman" w:hAnsi="Times New Roman" w:cs="Times New Roman"/>
                <w:sz w:val="28"/>
                <w:lang w:bidi="en-US"/>
              </w:rPr>
              <w:t>:</w:t>
            </w:r>
          </w:p>
          <w:p w14:paraId="31A7D19C" w14:textId="77777777" w:rsidR="00983B98" w:rsidRPr="00474153" w:rsidRDefault="00983B98">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According to the proviso of </w:t>
            </w:r>
            <w:r w:rsidRPr="00474153">
              <w:rPr>
                <w:rFonts w:ascii="Times New Roman" w:hAnsi="Times New Roman" w:cs="Times New Roman"/>
                <w:color w:val="FF0000"/>
                <w:sz w:val="28"/>
                <w:u w:val="single"/>
                <w:lang w:bidi="en-US"/>
              </w:rPr>
              <w:t>Item 2</w:t>
            </w:r>
            <w:r w:rsidRPr="00474153">
              <w:rPr>
                <w:rFonts w:ascii="Times New Roman" w:hAnsi="Times New Roman" w:cs="Times New Roman"/>
                <w:sz w:val="28"/>
                <w:lang w:bidi="en-US"/>
              </w:rPr>
              <w:t xml:space="preserve">, Subparagraph 2, Paragraph </w:t>
            </w:r>
            <w:r w:rsidRPr="00474153">
              <w:rPr>
                <w:rFonts w:ascii="Times New Roman" w:hAnsi="Times New Roman" w:cs="Times New Roman"/>
                <w:color w:val="FF0000"/>
                <w:sz w:val="28"/>
                <w:u w:val="single"/>
                <w:lang w:bidi="en-US"/>
              </w:rPr>
              <w:t>1</w:t>
            </w:r>
            <w:r w:rsidRPr="00474153">
              <w:rPr>
                <w:rFonts w:ascii="Times New Roman" w:hAnsi="Times New Roman" w:cs="Times New Roman"/>
                <w:sz w:val="28"/>
                <w:lang w:bidi="en-US"/>
              </w:rPr>
              <w:t>, Article 1</w:t>
            </w:r>
            <w:r w:rsidRPr="00474153">
              <w:rPr>
                <w:rFonts w:ascii="Times New Roman" w:hAnsi="Times New Roman" w:cs="Times New Roman"/>
                <w:color w:val="FF0000"/>
                <w:sz w:val="28"/>
                <w:u w:val="single"/>
                <w:lang w:bidi="en-US"/>
              </w:rPr>
              <w:t>7</w:t>
            </w:r>
            <w:r w:rsidRPr="00474153">
              <w:rPr>
                <w:rFonts w:ascii="Times New Roman" w:hAnsi="Times New Roman" w:cs="Times New Roman"/>
                <w:sz w:val="28"/>
                <w:lang w:bidi="en-US"/>
              </w:rPr>
              <w:t xml:space="preserve"> of the Model Guidelines, it is necessary to be qualified as compliance personnel first, and then completed the 12-hour AML/CTF education and training organized by the FSC-approved institution in order to meet the requirements of qualification outlines in this </w:t>
            </w:r>
            <w:r w:rsidRPr="00474153">
              <w:rPr>
                <w:rFonts w:ascii="Times New Roman" w:hAnsi="Times New Roman" w:cs="Times New Roman"/>
                <w:color w:val="FF0000"/>
                <w:sz w:val="28"/>
                <w:u w:val="single"/>
                <w:lang w:bidi="en-US"/>
              </w:rPr>
              <w:t>Item</w:t>
            </w:r>
            <w:r w:rsidRPr="00474153">
              <w:rPr>
                <w:rFonts w:ascii="Times New Roman" w:hAnsi="Times New Roman" w:cs="Times New Roman"/>
                <w:sz w:val="28"/>
                <w:lang w:bidi="en-US"/>
              </w:rPr>
              <w:t>.</w:t>
            </w:r>
          </w:p>
        </w:tc>
        <w:tc>
          <w:tcPr>
            <w:tcW w:w="4536" w:type="dxa"/>
            <w:shd w:val="clear" w:color="auto" w:fill="auto"/>
          </w:tcPr>
          <w:p w14:paraId="0E210A71" w14:textId="77777777" w:rsidR="00983B98" w:rsidRPr="00474153" w:rsidRDefault="00983B98" w:rsidP="00A56215">
            <w:pPr>
              <w:pStyle w:val="a4"/>
              <w:numPr>
                <w:ilvl w:val="0"/>
                <w:numId w:val="128"/>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Question number changed</w:t>
            </w:r>
          </w:p>
          <w:p w14:paraId="249A5071" w14:textId="77777777" w:rsidR="00983B98" w:rsidRPr="00474153" w:rsidRDefault="00983B98" w:rsidP="00A56215">
            <w:pPr>
              <w:pStyle w:val="a4"/>
              <w:numPr>
                <w:ilvl w:val="0"/>
                <w:numId w:val="128"/>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The original Item 2, Subparagraph 2, Paragraph 1, Article 17 of the Model Guidelines has been adjusted as Subparagraph 2, Paragraph 2, Article 18; therefore, the cited provisions have been adjusted accordingly.</w:t>
            </w:r>
          </w:p>
        </w:tc>
      </w:tr>
      <w:tr w:rsidR="00070761" w:rsidRPr="00474153" w14:paraId="2C3BF17D" w14:textId="77777777" w:rsidTr="00E419A6">
        <w:tc>
          <w:tcPr>
            <w:tcW w:w="510" w:type="dxa"/>
            <w:shd w:val="clear" w:color="auto" w:fill="auto"/>
          </w:tcPr>
          <w:p w14:paraId="3900CA7C" w14:textId="77777777" w:rsidR="00070761"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48</w:t>
            </w:r>
          </w:p>
        </w:tc>
        <w:tc>
          <w:tcPr>
            <w:tcW w:w="8335" w:type="dxa"/>
            <w:shd w:val="clear" w:color="auto" w:fill="auto"/>
          </w:tcPr>
          <w:p w14:paraId="6E64DA79" w14:textId="12E87BEF" w:rsidR="00070761" w:rsidRPr="00474153" w:rsidRDefault="00070761">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39</w:t>
            </w:r>
            <w:r w:rsidRPr="00474153">
              <w:rPr>
                <w:rFonts w:ascii="Times New Roman" w:hAnsi="Times New Roman"/>
                <w:sz w:val="28"/>
                <w:lang w:bidi="en-US"/>
              </w:rPr>
              <w:t xml:space="preserve">: According to the provision of Paragraph </w:t>
            </w:r>
            <w:r w:rsidRPr="00474153">
              <w:rPr>
                <w:rFonts w:ascii="Times New Roman" w:hAnsi="Times New Roman"/>
                <w:color w:val="FF0000"/>
                <w:sz w:val="28"/>
                <w:u w:val="single"/>
                <w:lang w:bidi="en-US"/>
              </w:rPr>
              <w:t>2</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Article 18</w:t>
            </w:r>
            <w:r w:rsidRPr="00474153">
              <w:rPr>
                <w:rFonts w:ascii="Times New Roman" w:hAnsi="Times New Roman"/>
                <w:sz w:val="28"/>
                <w:lang w:bidi="en-US"/>
              </w:rPr>
              <w:t xml:space="preserve"> of the Model Guidelines, the AML/CFT officers, specialists, and domestic business department supervisors shall meet the relevant qualifications within three months of being assigned to their role. If employees have completed at least 24 hours of courses organized by FSC-approved institutions, passed the required exams and obtained the course completion certificate or undergone relevant training prior to being assigned the role, would they be considered to have met the qualification criteria?</w:t>
            </w:r>
          </w:p>
          <w:p w14:paraId="2E1E5596" w14:textId="7BE72CB4" w:rsidR="00070761" w:rsidRPr="00474153" w:rsidRDefault="00070761">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264137" w:rsidRPr="00474153">
              <w:rPr>
                <w:rFonts w:ascii="Times New Roman" w:hAnsi="Times New Roman" w:cs="Times New Roman"/>
                <w:color w:val="FF0000"/>
                <w:sz w:val="28"/>
                <w:u w:val="single"/>
                <w:lang w:bidi="en-US"/>
              </w:rPr>
              <w:t>39</w:t>
            </w:r>
            <w:r w:rsidRPr="00474153">
              <w:rPr>
                <w:rFonts w:ascii="Times New Roman" w:hAnsi="Times New Roman" w:cs="Times New Roman"/>
                <w:sz w:val="28"/>
                <w:lang w:bidi="en-US"/>
              </w:rPr>
              <w:t>:</w:t>
            </w:r>
          </w:p>
          <w:p w14:paraId="5CC61842" w14:textId="79ADA9C4" w:rsidR="00070761" w:rsidRPr="00474153" w:rsidRDefault="00070761">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The prevailing rules require that AML/CFT Officers, specialists and domestic business department supervisors fulfill their qualification </w:t>
            </w:r>
            <w:r w:rsidRPr="00474153">
              <w:rPr>
                <w:rFonts w:ascii="Times New Roman" w:hAnsi="Times New Roman" w:cs="Times New Roman"/>
                <w:sz w:val="28"/>
                <w:lang w:bidi="en-US"/>
              </w:rPr>
              <w:lastRenderedPageBreak/>
              <w:t>criteria within 3 months of being assigned to their role. Having met the qualification criteria before their job assignment fulfills this requirement.</w:t>
            </w:r>
          </w:p>
        </w:tc>
        <w:tc>
          <w:tcPr>
            <w:tcW w:w="8335" w:type="dxa"/>
            <w:shd w:val="clear" w:color="auto" w:fill="auto"/>
          </w:tcPr>
          <w:p w14:paraId="369D81BB" w14:textId="77777777" w:rsidR="00070761" w:rsidRPr="00474153" w:rsidRDefault="00070761">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48</w:t>
            </w:r>
            <w:r w:rsidRPr="00474153">
              <w:rPr>
                <w:rFonts w:ascii="Times New Roman" w:hAnsi="Times New Roman"/>
                <w:sz w:val="28"/>
                <w:lang w:bidi="en-US"/>
              </w:rPr>
              <w:t xml:space="preserve">: According to the provision of </w:t>
            </w:r>
            <w:r w:rsidRPr="00474153">
              <w:rPr>
                <w:rFonts w:ascii="Times New Roman" w:hAnsi="Times New Roman"/>
                <w:color w:val="FF0000"/>
                <w:sz w:val="28"/>
                <w:u w:val="single"/>
                <w:lang w:bidi="en-US"/>
              </w:rPr>
              <w:t>Subparagraph 2</w:t>
            </w:r>
            <w:r w:rsidRPr="00474153">
              <w:rPr>
                <w:rFonts w:ascii="Times New Roman" w:hAnsi="Times New Roman"/>
                <w:sz w:val="28"/>
                <w:lang w:bidi="en-US"/>
              </w:rPr>
              <w:t xml:space="preserve">, Paragraph </w:t>
            </w:r>
            <w:r w:rsidRPr="00474153">
              <w:rPr>
                <w:rFonts w:ascii="Times New Roman" w:hAnsi="Times New Roman"/>
                <w:color w:val="FF0000"/>
                <w:sz w:val="28"/>
                <w:u w:val="single"/>
                <w:lang w:bidi="en-US"/>
              </w:rPr>
              <w:t>1</w:t>
            </w:r>
            <w:r w:rsidRPr="00474153">
              <w:rPr>
                <w:rFonts w:ascii="Times New Roman" w:hAnsi="Times New Roman"/>
                <w:sz w:val="28"/>
                <w:lang w:bidi="en-US"/>
              </w:rPr>
              <w:t>, Article 1</w:t>
            </w:r>
            <w:r w:rsidRPr="00474153">
              <w:rPr>
                <w:rFonts w:ascii="Times New Roman" w:hAnsi="Times New Roman"/>
                <w:color w:val="FF0000"/>
                <w:sz w:val="28"/>
                <w:u w:val="single"/>
                <w:lang w:bidi="en-US"/>
              </w:rPr>
              <w:t>7</w:t>
            </w:r>
            <w:r w:rsidRPr="00474153">
              <w:rPr>
                <w:rFonts w:ascii="Times New Roman" w:hAnsi="Times New Roman"/>
                <w:sz w:val="28"/>
                <w:lang w:bidi="en-US"/>
              </w:rPr>
              <w:t xml:space="preserve"> of the Model Guidelines, the AML/CFT officers, specialists, and domestic business department supervisors shall meet the relevant qualifications within three months of being assigned to their role. If employees have completed at least 24 hours of courses organized by FSC-approved institutions, passed the required exams and obtained the course completion certificate or undergone relevant training prior to being assigned the role, would they be considered to have met the qualification criteria?</w:t>
            </w:r>
          </w:p>
          <w:p w14:paraId="5386B009" w14:textId="77777777" w:rsidR="00070761" w:rsidRPr="00474153" w:rsidRDefault="00070761">
            <w:pPr>
              <w:ind w:left="580" w:hangingChars="207" w:hanging="580"/>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48</w:t>
            </w:r>
            <w:r w:rsidRPr="00474153">
              <w:rPr>
                <w:rFonts w:ascii="Times New Roman" w:hAnsi="Times New Roman" w:cs="Times New Roman"/>
                <w:sz w:val="28"/>
                <w:lang w:bidi="en-US"/>
              </w:rPr>
              <w:t>:</w:t>
            </w:r>
          </w:p>
          <w:p w14:paraId="711C1F96" w14:textId="1656B2BA" w:rsidR="00070761" w:rsidRPr="00474153" w:rsidRDefault="00070761">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The prevailing rules require that AML/CFT Officers, specialists and domestic business department supervisors fulfill their qualification </w:t>
            </w:r>
            <w:r w:rsidRPr="00474153">
              <w:rPr>
                <w:rFonts w:ascii="Times New Roman" w:hAnsi="Times New Roman" w:cs="Times New Roman"/>
                <w:sz w:val="28"/>
                <w:lang w:bidi="en-US"/>
              </w:rPr>
              <w:lastRenderedPageBreak/>
              <w:t>criteria within 3 months of being assigned to their role. Having met the qualification criteria before their job assignment fulfills this requirement.</w:t>
            </w:r>
          </w:p>
        </w:tc>
        <w:tc>
          <w:tcPr>
            <w:tcW w:w="4536" w:type="dxa"/>
            <w:shd w:val="clear" w:color="auto" w:fill="auto"/>
          </w:tcPr>
          <w:p w14:paraId="5EF4A0EC" w14:textId="77777777" w:rsidR="00070761" w:rsidRPr="00474153" w:rsidRDefault="00070761" w:rsidP="00A56215">
            <w:pPr>
              <w:pStyle w:val="a4"/>
              <w:numPr>
                <w:ilvl w:val="0"/>
                <w:numId w:val="129"/>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lastRenderedPageBreak/>
              <w:t>Question number changed</w:t>
            </w:r>
          </w:p>
          <w:p w14:paraId="69CE5912" w14:textId="77777777" w:rsidR="00070761" w:rsidRPr="00474153" w:rsidRDefault="00070761" w:rsidP="00A56215">
            <w:pPr>
              <w:pStyle w:val="a4"/>
              <w:numPr>
                <w:ilvl w:val="0"/>
                <w:numId w:val="129"/>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The original Subparagraph 2, Paragraph 1, Article 17 of the Model Guidelines has been adjusted as Paragraph 2, Article 18; therefore, the cited provisions have been adjusted accordingly.</w:t>
            </w:r>
          </w:p>
        </w:tc>
      </w:tr>
      <w:tr w:rsidR="00070761" w:rsidRPr="00474153" w14:paraId="5C3C3054" w14:textId="77777777" w:rsidTr="00E419A6">
        <w:tc>
          <w:tcPr>
            <w:tcW w:w="510" w:type="dxa"/>
            <w:shd w:val="clear" w:color="auto" w:fill="auto"/>
          </w:tcPr>
          <w:p w14:paraId="12AC1C1C" w14:textId="77777777" w:rsidR="00070761"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49</w:t>
            </w:r>
          </w:p>
        </w:tc>
        <w:tc>
          <w:tcPr>
            <w:tcW w:w="8335" w:type="dxa"/>
            <w:shd w:val="clear" w:color="auto" w:fill="auto"/>
          </w:tcPr>
          <w:p w14:paraId="6FBF0D86" w14:textId="77777777" w:rsidR="00070761" w:rsidRPr="00474153" w:rsidRDefault="00070761">
            <w:pPr>
              <w:jc w:val="both"/>
              <w:rPr>
                <w:rFonts w:ascii="Times New Roman" w:eastAsia="標楷體" w:hAnsi="Times New Roman" w:cs="Times New Roman"/>
                <w:sz w:val="28"/>
                <w:szCs w:val="28"/>
              </w:rPr>
            </w:pPr>
          </w:p>
        </w:tc>
        <w:tc>
          <w:tcPr>
            <w:tcW w:w="8335" w:type="dxa"/>
            <w:shd w:val="clear" w:color="auto" w:fill="auto"/>
          </w:tcPr>
          <w:p w14:paraId="0F76C618" w14:textId="77777777" w:rsidR="00070761" w:rsidRPr="00474153" w:rsidRDefault="00070761">
            <w:pPr>
              <w:pStyle w:val="a4"/>
              <w:snapToGrid w:val="0"/>
              <w:spacing w:line="400" w:lineRule="exact"/>
              <w:ind w:leftChars="6" w:left="644" w:hangingChars="225" w:hanging="63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Q49: According to Item 2, Subparagraph 3, Paragraph 1, Article 17 of the Model Guidelines, domestic business department supervisors are deemed to have fulfilled their qualification criteria if they meet the conditions listed in Item 2 of the preceding Subparagraph within one year of being assigned the role. If the domestic business department supervisor has already been assigned to the supervisory role before this Model Guidelines were published, what will be the deadline for fulfilling this qualification criteria?</w:t>
            </w:r>
          </w:p>
          <w:p w14:paraId="5A9A364C" w14:textId="77777777" w:rsidR="00070761" w:rsidRPr="00474153" w:rsidRDefault="00070761">
            <w:pPr>
              <w:ind w:left="580" w:hangingChars="207" w:hanging="580"/>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A49:</w:t>
            </w:r>
          </w:p>
          <w:p w14:paraId="6921E88F" w14:textId="77777777" w:rsidR="00070761" w:rsidRPr="00474153" w:rsidRDefault="00070761">
            <w:pPr>
              <w:jc w:val="both"/>
              <w:rPr>
                <w:rFonts w:ascii="Times New Roman" w:eastAsia="標楷體" w:hAnsi="Times New Roman" w:cs="Times New Roman"/>
                <w:color w:val="FF0000"/>
                <w:sz w:val="28"/>
                <w:szCs w:val="28"/>
              </w:rPr>
            </w:pPr>
            <w:r w:rsidRPr="00474153">
              <w:rPr>
                <w:rFonts w:ascii="Times New Roman" w:hAnsi="Times New Roman" w:cs="Times New Roman"/>
                <w:color w:val="FF0000"/>
                <w:sz w:val="28"/>
                <w:lang w:bidi="en-US"/>
              </w:rPr>
              <w:t>A domestic business department supervisor who has been carrying out the role of supervisor before December 31, 2016 is required to fulfill the qualification criteria mentioned in Item 2, Subparagraph 2, Paragraph 1, Article 17 of the Model Guidelines by no later than December 31, 2017, which is one year away from January 1, 2017.</w:t>
            </w:r>
          </w:p>
        </w:tc>
        <w:tc>
          <w:tcPr>
            <w:tcW w:w="4536" w:type="dxa"/>
            <w:shd w:val="clear" w:color="auto" w:fill="auto"/>
          </w:tcPr>
          <w:p w14:paraId="54E3A5D1" w14:textId="77777777" w:rsidR="00070761" w:rsidRPr="00474153" w:rsidRDefault="007D6ABC" w:rsidP="00A56215">
            <w:pPr>
              <w:pStyle w:val="a4"/>
              <w:numPr>
                <w:ilvl w:val="0"/>
                <w:numId w:val="130"/>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This question is deleted.</w:t>
            </w:r>
          </w:p>
          <w:p w14:paraId="3C5D2409" w14:textId="77777777" w:rsidR="007D6ABC" w:rsidRPr="00474153" w:rsidRDefault="002E1251" w:rsidP="00A56215">
            <w:pPr>
              <w:pStyle w:val="a4"/>
              <w:numPr>
                <w:ilvl w:val="0"/>
                <w:numId w:val="130"/>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The provisions of the Model Guidelines cited originally had been deleted; therefore, this question is also deleted.</w:t>
            </w:r>
          </w:p>
        </w:tc>
      </w:tr>
      <w:tr w:rsidR="00B56D42" w:rsidRPr="00474153" w14:paraId="0BA17DDC" w14:textId="77777777" w:rsidTr="00E419A6">
        <w:tc>
          <w:tcPr>
            <w:tcW w:w="510" w:type="dxa"/>
            <w:shd w:val="clear" w:color="auto" w:fill="auto"/>
          </w:tcPr>
          <w:p w14:paraId="0C16F62A" w14:textId="77777777" w:rsidR="00B56D42"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50</w:t>
            </w:r>
          </w:p>
        </w:tc>
        <w:tc>
          <w:tcPr>
            <w:tcW w:w="8335" w:type="dxa"/>
            <w:shd w:val="clear" w:color="auto" w:fill="auto"/>
          </w:tcPr>
          <w:p w14:paraId="67EE4F18" w14:textId="6EAAEE06" w:rsidR="00B56D42" w:rsidRPr="00474153" w:rsidRDefault="00B56D42">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40</w:t>
            </w:r>
            <w:r w:rsidRPr="00474153">
              <w:rPr>
                <w:rFonts w:ascii="Times New Roman" w:hAnsi="Times New Roman"/>
                <w:sz w:val="28"/>
                <w:lang w:bidi="en-US"/>
              </w:rPr>
              <w:t xml:space="preserve">: According to the provision of </w:t>
            </w:r>
            <w:r w:rsidR="00F06EA7" w:rsidRPr="00474153">
              <w:rPr>
                <w:rFonts w:ascii="Times New Roman" w:hAnsi="Times New Roman"/>
                <w:color w:val="FF0000"/>
                <w:sz w:val="28"/>
                <w:u w:val="single"/>
                <w:lang w:bidi="en-US"/>
              </w:rPr>
              <w:t>Paragraph</w:t>
            </w:r>
            <w:r w:rsidRPr="00474153">
              <w:rPr>
                <w:rFonts w:ascii="Times New Roman" w:hAnsi="Times New Roman"/>
                <w:sz w:val="28"/>
                <w:lang w:bidi="en-US"/>
              </w:rPr>
              <w:t xml:space="preserve"> </w:t>
            </w:r>
            <w:r w:rsidR="00F06EA7" w:rsidRPr="00474153">
              <w:rPr>
                <w:rFonts w:ascii="Times New Roman" w:hAnsi="Times New Roman"/>
                <w:sz w:val="28"/>
                <w:lang w:bidi="en-US"/>
              </w:rPr>
              <w:t>1, Article</w:t>
            </w:r>
            <w:r w:rsidRPr="00474153">
              <w:rPr>
                <w:rFonts w:ascii="Times New Roman" w:hAnsi="Times New Roman"/>
                <w:sz w:val="28"/>
                <w:lang w:bidi="en-US"/>
              </w:rPr>
              <w:t xml:space="preserve"> 1</w:t>
            </w:r>
            <w:r w:rsidR="00F06EA7" w:rsidRPr="00474153">
              <w:rPr>
                <w:rFonts w:ascii="Times New Roman" w:hAnsi="Times New Roman"/>
                <w:color w:val="FF0000"/>
                <w:sz w:val="28"/>
                <w:u w:val="single"/>
                <w:lang w:bidi="en-US"/>
              </w:rPr>
              <w:t>6</w:t>
            </w:r>
            <w:r w:rsidRPr="00474153">
              <w:rPr>
                <w:rFonts w:ascii="Times New Roman" w:hAnsi="Times New Roman"/>
                <w:sz w:val="28"/>
                <w:lang w:bidi="en-US"/>
              </w:rPr>
              <w:t xml:space="preserve"> of the Model Guidelines, banks shall allocate adequate AML/CFT personnel and resources according to its business scale and risks; also, the board of directors (council) shall appoint a senior officer to serve as the dedicated supervisor who should be fully authorized to coordinate and supervise the AML/CFT task, and to ensure that these personnel and supervisors do not have part-time jobs that conflict with their AML/CFT responsibility. What is the scope of the “concurrent role of conflicting interest?” How should banks define and determine a “conflict of interest?”</w:t>
            </w:r>
          </w:p>
          <w:p w14:paraId="3C5D4182" w14:textId="2E7A471B" w:rsidR="00B56D42" w:rsidRPr="00474153" w:rsidRDefault="00B56D42">
            <w:pPr>
              <w:pStyle w:val="a4"/>
              <w:snapToGrid w:val="0"/>
              <w:spacing w:line="400" w:lineRule="exact"/>
              <w:ind w:leftChars="6" w:left="697" w:hangingChars="244" w:hanging="683"/>
              <w:jc w:val="both"/>
              <w:rPr>
                <w:rFonts w:ascii="Times New Roman" w:eastAsia="標楷體" w:hAnsi="Times New Roman"/>
                <w:bCs/>
                <w:caps/>
                <w:sz w:val="28"/>
                <w:szCs w:val="28"/>
              </w:rPr>
            </w:pPr>
            <w:r w:rsidRPr="00474153">
              <w:rPr>
                <w:rFonts w:ascii="Times New Roman" w:hAnsi="Times New Roman"/>
                <w:sz w:val="28"/>
                <w:lang w:bidi="en-US"/>
              </w:rPr>
              <w:t>A</w:t>
            </w:r>
            <w:r w:rsidR="00264137" w:rsidRPr="00474153">
              <w:rPr>
                <w:rFonts w:ascii="Times New Roman" w:hAnsi="Times New Roman"/>
                <w:color w:val="FF0000"/>
                <w:sz w:val="28"/>
                <w:u w:val="single"/>
                <w:lang w:bidi="en-US"/>
              </w:rPr>
              <w:t>40</w:t>
            </w:r>
            <w:r w:rsidRPr="00474153">
              <w:rPr>
                <w:rFonts w:ascii="Times New Roman" w:hAnsi="Times New Roman"/>
                <w:sz w:val="28"/>
                <w:lang w:bidi="en-US"/>
              </w:rPr>
              <w:t>:</w:t>
            </w:r>
          </w:p>
          <w:p w14:paraId="60A6E061" w14:textId="77777777" w:rsidR="00B56D42" w:rsidRPr="00474153" w:rsidRDefault="00B56D42">
            <w:pPr>
              <w:pStyle w:val="a4"/>
              <w:numPr>
                <w:ilvl w:val="0"/>
                <w:numId w:val="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“Conflict of interest” refers to a conflict between an employee’s personal interest and the interest of the employee’s duties. The conflict can be examined from a number of perspectives, such as an employee’s external business involvements (concurrent employment), report of private transactions by specific employees, stakeholder transactions, etc.</w:t>
            </w:r>
          </w:p>
          <w:p w14:paraId="7CFAE65D" w14:textId="77777777" w:rsidR="00B56D42" w:rsidRPr="00474153" w:rsidRDefault="00B56D42">
            <w:pPr>
              <w:pStyle w:val="a4"/>
              <w:numPr>
                <w:ilvl w:val="0"/>
                <w:numId w:val="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lastRenderedPageBreak/>
              <w:t>As far as “concurrent role of conflicting interest” is concerned, the AML/CFT Officers and specialists are not allowed to assume business responsibilities or concurrently be involved in the maintenance of customer relations, and neither can they be assigned to audit the effectiveness of the AML program. In addition, they must not report to any manager of general business activities.</w:t>
            </w:r>
          </w:p>
          <w:p w14:paraId="40648B06" w14:textId="77777777" w:rsidR="00B56D42" w:rsidRPr="00474153" w:rsidRDefault="00B56D42">
            <w:pPr>
              <w:pStyle w:val="a4"/>
              <w:numPr>
                <w:ilvl w:val="0"/>
                <w:numId w:val="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 xml:space="preserve">However, according to the second half of </w:t>
            </w:r>
            <w:r w:rsidR="00F06EA7" w:rsidRPr="00474153">
              <w:rPr>
                <w:rFonts w:ascii="Times New Roman" w:hAnsi="Times New Roman"/>
                <w:color w:val="FF0000"/>
                <w:sz w:val="28"/>
                <w:u w:val="single"/>
                <w:lang w:bidi="en-US"/>
              </w:rPr>
              <w:t>Paragraph</w:t>
            </w:r>
            <w:r w:rsidRPr="00474153">
              <w:rPr>
                <w:rFonts w:ascii="Times New Roman" w:hAnsi="Times New Roman"/>
                <w:sz w:val="28"/>
                <w:lang w:bidi="en-US"/>
              </w:rPr>
              <w:t xml:space="preserve"> 1, Article 1</w:t>
            </w:r>
            <w:r w:rsidR="00F06EA7" w:rsidRPr="00474153">
              <w:rPr>
                <w:rFonts w:ascii="Times New Roman" w:hAnsi="Times New Roman"/>
                <w:color w:val="FF0000"/>
                <w:sz w:val="28"/>
                <w:u w:val="single"/>
                <w:lang w:bidi="en-US"/>
              </w:rPr>
              <w:t>6</w:t>
            </w:r>
            <w:r w:rsidRPr="00474153">
              <w:rPr>
                <w:rFonts w:ascii="Times New Roman" w:hAnsi="Times New Roman"/>
                <w:sz w:val="28"/>
                <w:lang w:bidi="en-US"/>
              </w:rPr>
              <w:t xml:space="preserve"> of the Model Guidelines, “The local bank and the postal offices which also handle money transaction of deposit shall also set up an independent AML/CFT unit under the general manager, the head office compliance department or the risk control unit, which unit shall not concurrently conduct business other than AML/CFT task.” Therefore, the AML/CFT officers and specialists of local banks and the postal offices, which also handle money transactions of deposit, should work full-time.</w:t>
            </w:r>
          </w:p>
        </w:tc>
        <w:tc>
          <w:tcPr>
            <w:tcW w:w="8335" w:type="dxa"/>
            <w:shd w:val="clear" w:color="auto" w:fill="auto"/>
          </w:tcPr>
          <w:p w14:paraId="6C364E27" w14:textId="77777777" w:rsidR="00B56D42" w:rsidRPr="00474153" w:rsidRDefault="00B56D42">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50</w:t>
            </w:r>
            <w:r w:rsidRPr="00474153">
              <w:rPr>
                <w:rFonts w:ascii="Times New Roman" w:hAnsi="Times New Roman"/>
                <w:sz w:val="28"/>
                <w:lang w:bidi="en-US"/>
              </w:rPr>
              <w:t xml:space="preserve">: According to the provision of </w:t>
            </w:r>
            <w:r w:rsidRPr="00474153">
              <w:rPr>
                <w:rFonts w:ascii="Times New Roman" w:hAnsi="Times New Roman"/>
                <w:color w:val="FF0000"/>
                <w:sz w:val="28"/>
                <w:u w:val="single"/>
                <w:lang w:bidi="en-US"/>
              </w:rPr>
              <w:t>Subparagraph</w:t>
            </w:r>
            <w:r w:rsidRPr="00474153">
              <w:rPr>
                <w:rFonts w:ascii="Times New Roman" w:hAnsi="Times New Roman"/>
                <w:sz w:val="28"/>
                <w:lang w:bidi="en-US"/>
              </w:rPr>
              <w:t xml:space="preserve"> 1, Article 1</w:t>
            </w:r>
            <w:r w:rsidRPr="00474153">
              <w:rPr>
                <w:rFonts w:ascii="Times New Roman" w:hAnsi="Times New Roman"/>
                <w:color w:val="FF0000"/>
                <w:sz w:val="28"/>
                <w:u w:val="single"/>
                <w:lang w:bidi="en-US"/>
              </w:rPr>
              <w:t>5</w:t>
            </w:r>
            <w:r w:rsidRPr="00474153">
              <w:rPr>
                <w:rFonts w:ascii="Times New Roman" w:hAnsi="Times New Roman"/>
                <w:sz w:val="28"/>
                <w:lang w:bidi="en-US"/>
              </w:rPr>
              <w:t xml:space="preserve"> of the Model Guidelines, banks shall allocate adequate AML/CFT personnel and resources according to its business scale and risks; also, the board of directors (council) shall appoint a senior officer to serve as the dedicated supervisor who should be fully authorized to coordinate and supervise the AML/CFT task, and to ensure that these personnel and supervisors do not have part-time jobs that conflict with their AML/CFT responsibility. What is the scope of the “concurrent role of conflicting interest?” How should banks define and determine a “conflict of interest?”</w:t>
            </w:r>
          </w:p>
          <w:p w14:paraId="7A611A5C" w14:textId="77777777" w:rsidR="00B56D42" w:rsidRPr="00474153" w:rsidRDefault="00B56D42">
            <w:pPr>
              <w:pStyle w:val="a4"/>
              <w:snapToGrid w:val="0"/>
              <w:spacing w:line="400" w:lineRule="exact"/>
              <w:ind w:leftChars="6" w:left="697" w:hangingChars="244" w:hanging="683"/>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50</w:t>
            </w:r>
            <w:r w:rsidRPr="00474153">
              <w:rPr>
                <w:rFonts w:ascii="Times New Roman" w:hAnsi="Times New Roman"/>
                <w:sz w:val="28"/>
                <w:lang w:bidi="en-US"/>
              </w:rPr>
              <w:t>:</w:t>
            </w:r>
          </w:p>
          <w:p w14:paraId="7A3D46B6" w14:textId="77777777" w:rsidR="00B56D42" w:rsidRPr="00474153" w:rsidRDefault="00B56D42">
            <w:pPr>
              <w:pStyle w:val="a4"/>
              <w:numPr>
                <w:ilvl w:val="0"/>
                <w:numId w:val="7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“Conflict of interest” refers to a conflict between an employee’s personal interest and the interest of the employee’s duties. The conflict can be examined from a number of perspectives, such as an employee’s external business involvements (concurrent employment), report of private transactions by specific employees, stakeholder transactions, etc.</w:t>
            </w:r>
          </w:p>
          <w:p w14:paraId="1BCEA7BC" w14:textId="77777777" w:rsidR="00B56D42" w:rsidRPr="00474153" w:rsidRDefault="00B56D42">
            <w:pPr>
              <w:pStyle w:val="a4"/>
              <w:numPr>
                <w:ilvl w:val="0"/>
                <w:numId w:val="7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lastRenderedPageBreak/>
              <w:t>As far as “concurrent role of conflicting interest” is concerned, the AML/CFT Officers and specialists are not allowed to assume business responsibilities or concurrently be involved in the maintenance of customer relations, and neither can they be assigned to audit the effectiveness of the AML program. In addition, they must not report to any manager of general business activities.</w:t>
            </w:r>
          </w:p>
          <w:p w14:paraId="62059543" w14:textId="77777777" w:rsidR="00B56D42" w:rsidRPr="00474153" w:rsidRDefault="00B56D42">
            <w:pPr>
              <w:pStyle w:val="a4"/>
              <w:numPr>
                <w:ilvl w:val="0"/>
                <w:numId w:val="71"/>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 xml:space="preserve">However, according to the second half of </w:t>
            </w:r>
            <w:r w:rsidRPr="00474153">
              <w:rPr>
                <w:rFonts w:ascii="Times New Roman" w:hAnsi="Times New Roman"/>
                <w:color w:val="FF0000"/>
                <w:sz w:val="28"/>
                <w:u w:val="single"/>
                <w:lang w:bidi="en-US"/>
              </w:rPr>
              <w:t>Subparagraph</w:t>
            </w:r>
            <w:r w:rsidRPr="00474153">
              <w:rPr>
                <w:rFonts w:ascii="Times New Roman" w:hAnsi="Times New Roman"/>
                <w:sz w:val="28"/>
                <w:lang w:bidi="en-US"/>
              </w:rPr>
              <w:t xml:space="preserve"> 1, Article 1</w:t>
            </w:r>
            <w:r w:rsidRPr="00474153">
              <w:rPr>
                <w:rFonts w:ascii="Times New Roman" w:hAnsi="Times New Roman"/>
                <w:color w:val="FF0000"/>
                <w:sz w:val="28"/>
                <w:u w:val="single"/>
                <w:lang w:bidi="en-US"/>
              </w:rPr>
              <w:t>5</w:t>
            </w:r>
            <w:r w:rsidRPr="00474153">
              <w:rPr>
                <w:rFonts w:ascii="Times New Roman" w:hAnsi="Times New Roman"/>
                <w:sz w:val="28"/>
                <w:lang w:bidi="en-US"/>
              </w:rPr>
              <w:t xml:space="preserve"> of the Model Guidelines, “The local bank and the postal agency that handles deposits and exchanges shall also set up an independent AML/CFT unit under the general manager, the head office compliance department or the risk control unit, which unit shall not concurrently conduct business other than AML/CFT task.” Therefore, the AML/CFT officers and specialists of local banks and the postal agency that handles deposits and exchanges should work full-time.</w:t>
            </w:r>
          </w:p>
        </w:tc>
        <w:tc>
          <w:tcPr>
            <w:tcW w:w="4536" w:type="dxa"/>
            <w:shd w:val="clear" w:color="auto" w:fill="auto"/>
          </w:tcPr>
          <w:p w14:paraId="0B3C0D80" w14:textId="77777777" w:rsidR="00B56D42" w:rsidRPr="00474153" w:rsidRDefault="00F06EA7" w:rsidP="00A56215">
            <w:pPr>
              <w:pStyle w:val="a4"/>
              <w:numPr>
                <w:ilvl w:val="0"/>
                <w:numId w:val="62"/>
              </w:numPr>
              <w:adjustRightInd w:val="0"/>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lastRenderedPageBreak/>
              <w:t>Question number changed</w:t>
            </w:r>
          </w:p>
          <w:p w14:paraId="19DE9908" w14:textId="77777777" w:rsidR="00F06EA7" w:rsidRPr="00474153" w:rsidRDefault="00F06EA7" w:rsidP="00A56215">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The original Subparagraph 1, Article 15 of the Model Guidelines, has been adjusted as Paragraph 1, Article 16; therefore, the cited provisions have been adjusted accordingly.</w:t>
            </w:r>
          </w:p>
        </w:tc>
      </w:tr>
      <w:tr w:rsidR="007E6204" w:rsidRPr="00474153" w14:paraId="1B78E270" w14:textId="77777777" w:rsidTr="00E419A6">
        <w:tc>
          <w:tcPr>
            <w:tcW w:w="510" w:type="dxa"/>
            <w:shd w:val="clear" w:color="auto" w:fill="auto"/>
          </w:tcPr>
          <w:p w14:paraId="4D660C01" w14:textId="77777777" w:rsidR="007E6204"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51</w:t>
            </w:r>
          </w:p>
        </w:tc>
        <w:tc>
          <w:tcPr>
            <w:tcW w:w="8335" w:type="dxa"/>
            <w:shd w:val="clear" w:color="auto" w:fill="auto"/>
          </w:tcPr>
          <w:p w14:paraId="5EE76D36" w14:textId="2B1ED6BE" w:rsidR="002902CD" w:rsidRPr="00474153" w:rsidRDefault="002902CD">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A77D3A" w:rsidRPr="00474153">
              <w:rPr>
                <w:rFonts w:ascii="Times New Roman" w:hAnsi="Times New Roman"/>
                <w:color w:val="FF0000"/>
                <w:sz w:val="28"/>
                <w:u w:val="single"/>
                <w:lang w:bidi="en-US"/>
              </w:rPr>
              <w:t>41</w:t>
            </w:r>
            <w:r w:rsidRPr="00474153">
              <w:rPr>
                <w:rFonts w:ascii="Times New Roman" w:hAnsi="Times New Roman"/>
                <w:sz w:val="28"/>
                <w:lang w:bidi="en-US"/>
              </w:rPr>
              <w:t>: (1) When the business unit supervisor is on vacation, should the agent also have to meet the qualifications required in Paragraph 1, Article 17 of the “Model Guidelines Governing Anti-Money Laundering and Combating the Financing of Terrorism by the Banking Sector?” (2) If an employee obtains the certificate of completion mentioned in Item 2, Subparagraph 2, Paragraph 1, Article 17 during the year, will the employee be exempted from the 12-hour training requirement stated in Subparagraph 4, Paragraph 1, Article 17 for the given year?</w:t>
            </w:r>
          </w:p>
          <w:p w14:paraId="6F558B34" w14:textId="63828C1D" w:rsidR="002902CD" w:rsidRPr="00474153" w:rsidRDefault="002902CD">
            <w:pPr>
              <w:jc w:val="both"/>
              <w:rPr>
                <w:rFonts w:ascii="Times New Roman" w:eastAsia="標楷體" w:hAnsi="Times New Roman" w:cs="Times New Roman"/>
                <w:color w:val="FF0000"/>
                <w:sz w:val="28"/>
                <w:szCs w:val="28"/>
                <w:u w:val="single"/>
              </w:rPr>
            </w:pPr>
            <w:r w:rsidRPr="00474153">
              <w:rPr>
                <w:rFonts w:ascii="Times New Roman" w:hAnsi="Times New Roman" w:cs="Times New Roman"/>
                <w:sz w:val="28"/>
                <w:lang w:bidi="en-US"/>
              </w:rPr>
              <w:t>A</w:t>
            </w:r>
            <w:r w:rsidR="00A77D3A" w:rsidRPr="00474153">
              <w:rPr>
                <w:rFonts w:ascii="Times New Roman" w:hAnsi="Times New Roman" w:cs="Times New Roman"/>
                <w:color w:val="FF0000"/>
                <w:sz w:val="28"/>
                <w:u w:val="single"/>
                <w:lang w:bidi="en-US"/>
              </w:rPr>
              <w:t>41</w:t>
            </w:r>
            <w:r w:rsidRPr="00474153">
              <w:rPr>
                <w:rFonts w:ascii="Times New Roman" w:hAnsi="Times New Roman" w:cs="Times New Roman"/>
                <w:sz w:val="28"/>
                <w:lang w:bidi="en-US"/>
              </w:rPr>
              <w:t>:</w:t>
            </w:r>
          </w:p>
          <w:p w14:paraId="3FCA3AE2" w14:textId="77777777" w:rsidR="002902CD" w:rsidRPr="00474153" w:rsidRDefault="002902CD">
            <w:pPr>
              <w:pStyle w:val="a4"/>
              <w:numPr>
                <w:ilvl w:val="0"/>
                <w:numId w:val="7"/>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The acting business department supervisor can be exempted from the requirement, but banks are advised to develop a system for training persons of acting duty.</w:t>
            </w:r>
          </w:p>
          <w:p w14:paraId="4C41C6A5" w14:textId="4E40E050" w:rsidR="002902CD" w:rsidRPr="00474153" w:rsidRDefault="002902CD">
            <w:pPr>
              <w:pStyle w:val="a4"/>
              <w:numPr>
                <w:ilvl w:val="0"/>
                <w:numId w:val="7"/>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 xml:space="preserve">Employees who “complete at least 24 hours of courses organized by the FSC-approved institution, and pass the required exams to obtain a course completion certificate” according to Item 2, Subparagraph 2, Paragraph 1, Article 17 in a given year are </w:t>
            </w:r>
            <w:r w:rsidRPr="00474153">
              <w:rPr>
                <w:rFonts w:ascii="Times New Roman" w:hAnsi="Times New Roman"/>
                <w:sz w:val="28"/>
                <w:lang w:bidi="en-US"/>
              </w:rPr>
              <w:lastRenderedPageBreak/>
              <w:t>exempted from the requirement stated in Item 4, Paragraph 1, Article 17, which is to complete “12 hours of AML/CFT training organized by internal/external training institutions that are approved by the accountable manager mentioned in Subparagraph 1, Article 14” during the year.</w:t>
            </w:r>
          </w:p>
          <w:p w14:paraId="126E79EB" w14:textId="77777777" w:rsidR="007E6204" w:rsidRPr="00474153" w:rsidRDefault="007E6204">
            <w:pPr>
              <w:snapToGrid w:val="0"/>
              <w:jc w:val="both"/>
              <w:rPr>
                <w:rFonts w:ascii="Times New Roman" w:eastAsia="標楷體" w:hAnsi="Times New Roman" w:cs="Times New Roman"/>
                <w:bCs/>
                <w:caps/>
                <w:color w:val="FF0000"/>
                <w:sz w:val="28"/>
                <w:szCs w:val="28"/>
                <w:u w:val="single"/>
              </w:rPr>
            </w:pPr>
          </w:p>
        </w:tc>
        <w:tc>
          <w:tcPr>
            <w:tcW w:w="8335" w:type="dxa"/>
            <w:shd w:val="clear" w:color="auto" w:fill="auto"/>
          </w:tcPr>
          <w:p w14:paraId="3347D4E9" w14:textId="77777777" w:rsidR="007E6204" w:rsidRPr="00474153" w:rsidRDefault="007E6204">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51</w:t>
            </w:r>
            <w:r w:rsidRPr="00474153">
              <w:rPr>
                <w:rFonts w:ascii="Times New Roman" w:hAnsi="Times New Roman"/>
                <w:sz w:val="28"/>
                <w:lang w:bidi="en-US"/>
              </w:rPr>
              <w:t>: (1) When the business unit's supervisor is on vacation, should the agent also have to meet the qualifications required in Paragraph 1, Article 17 of the “Model Guidelines Governing Anti-Money Laundering and Combating the Financing of Terrorism by the Banking Sector?” (2) If an employee obtains the certificate of completion mentioned in Item 2, Subparagraph 2, Paragraph 1, Article 17 during the year, will the employee be exempted from the 12-hour training requirement stated in Subparagraph 4, Paragraph 1, Article 17 for the given year?</w:t>
            </w:r>
          </w:p>
          <w:p w14:paraId="65BFAC62" w14:textId="77777777" w:rsidR="007E6204" w:rsidRPr="00474153" w:rsidRDefault="007E6204">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51</w:t>
            </w:r>
            <w:r w:rsidRPr="00474153">
              <w:rPr>
                <w:rFonts w:ascii="Times New Roman" w:hAnsi="Times New Roman" w:cs="Times New Roman"/>
                <w:sz w:val="28"/>
                <w:lang w:bidi="en-US"/>
              </w:rPr>
              <w:t>:</w:t>
            </w:r>
          </w:p>
          <w:p w14:paraId="05451F38" w14:textId="77777777" w:rsidR="007E6204" w:rsidRPr="00474153" w:rsidRDefault="007E6204">
            <w:pPr>
              <w:pStyle w:val="a4"/>
              <w:numPr>
                <w:ilvl w:val="0"/>
                <w:numId w:val="97"/>
              </w:numPr>
              <w:snapToGrid w:val="0"/>
              <w:spacing w:line="400" w:lineRule="exact"/>
              <w:ind w:leftChars="0"/>
              <w:jc w:val="both"/>
              <w:rPr>
                <w:rFonts w:ascii="Times New Roman" w:eastAsia="標楷體" w:hAnsi="Times New Roman"/>
                <w:bCs/>
                <w:caps/>
                <w:sz w:val="28"/>
                <w:szCs w:val="28"/>
              </w:rPr>
            </w:pPr>
            <w:r w:rsidRPr="00474153">
              <w:rPr>
                <w:rFonts w:ascii="Times New Roman" w:hAnsi="Times New Roman"/>
                <w:sz w:val="28"/>
                <w:lang w:bidi="en-US"/>
              </w:rPr>
              <w:t>The acting business department supervisor can be exempted from the requirement, but banks are advised to develop a system for training persons of acting duty.</w:t>
            </w:r>
          </w:p>
          <w:p w14:paraId="47CB653C" w14:textId="77777777" w:rsidR="007E6204" w:rsidRPr="00474153" w:rsidRDefault="007E6204">
            <w:pPr>
              <w:pStyle w:val="a4"/>
              <w:numPr>
                <w:ilvl w:val="0"/>
                <w:numId w:val="97"/>
              </w:numPr>
              <w:snapToGrid w:val="0"/>
              <w:spacing w:line="400" w:lineRule="exact"/>
              <w:ind w:leftChars="0"/>
              <w:jc w:val="both"/>
              <w:rPr>
                <w:rFonts w:ascii="Times New Roman" w:eastAsia="標楷體" w:hAnsi="Times New Roman"/>
                <w:bCs/>
                <w:caps/>
                <w:color w:val="FF0000"/>
                <w:sz w:val="28"/>
                <w:szCs w:val="28"/>
                <w:u w:val="single"/>
              </w:rPr>
            </w:pPr>
            <w:r w:rsidRPr="00474153">
              <w:rPr>
                <w:rFonts w:ascii="Times New Roman" w:hAnsi="Times New Roman"/>
                <w:sz w:val="28"/>
                <w:lang w:bidi="en-US"/>
              </w:rPr>
              <w:t xml:space="preserve">Employees who “complete at least 24 hours of courses organized by the FSC-approved institution, and pass the required exams to obtain a course completion certificate” according to Item 2, Subparagraph 2, Paragraph 1, Article 17 in a given year are </w:t>
            </w:r>
            <w:r w:rsidRPr="00474153">
              <w:rPr>
                <w:rFonts w:ascii="Times New Roman" w:hAnsi="Times New Roman"/>
                <w:sz w:val="28"/>
                <w:lang w:bidi="en-US"/>
              </w:rPr>
              <w:lastRenderedPageBreak/>
              <w:t>exempted from the requirement stated in Item 4, Paragraph 1, Article 17, which is to complete “12 hours of AML/CFT training organized by internal/external training institutions that are approved by the accountable manager mentioned in Subparagraph 1, Article 14” during the year.</w:t>
            </w:r>
          </w:p>
        </w:tc>
        <w:tc>
          <w:tcPr>
            <w:tcW w:w="4536" w:type="dxa"/>
            <w:shd w:val="clear" w:color="auto" w:fill="auto"/>
          </w:tcPr>
          <w:p w14:paraId="199F9DE4" w14:textId="5FF96197" w:rsidR="005D4E7A" w:rsidRPr="00474153" w:rsidRDefault="002902CD">
            <w:pP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bl>
    <w:p w14:paraId="0793956B" w14:textId="77777777" w:rsidR="008B1038" w:rsidRPr="00474153" w:rsidRDefault="003820CA">
      <w:pPr>
        <w:rPr>
          <w:rFonts w:ascii="Times New Roman" w:eastAsia="標楷體" w:hAnsi="Times New Roman" w:cs="Times New Roman"/>
          <w:sz w:val="28"/>
          <w:szCs w:val="28"/>
        </w:rPr>
      </w:pPr>
      <w:r w:rsidRPr="00474153">
        <w:rPr>
          <w:rFonts w:ascii="Times New Roman" w:hAnsi="Times New Roman" w:cs="Times New Roman"/>
          <w:sz w:val="28"/>
          <w:lang w:bidi="en-US"/>
        </w:rPr>
        <w:t>6. Others</w:t>
      </w:r>
    </w:p>
    <w:p w14:paraId="43D7DC39" w14:textId="77777777" w:rsidR="00180248" w:rsidRPr="00474153" w:rsidRDefault="00180248">
      <w:pPr>
        <w:rPr>
          <w:rFonts w:ascii="Times New Roman" w:eastAsia="標楷體" w:hAnsi="Times New Roman" w:cs="Times New Roman"/>
          <w:sz w:val="28"/>
          <w:szCs w:val="28"/>
        </w:rPr>
      </w:pPr>
    </w:p>
    <w:tbl>
      <w:tblPr>
        <w:tblStyle w:val="a3"/>
        <w:tblW w:w="21716" w:type="dxa"/>
        <w:tblLayout w:type="fixed"/>
        <w:tblLook w:val="04A0" w:firstRow="1" w:lastRow="0" w:firstColumn="1" w:lastColumn="0" w:noHBand="0" w:noVBand="1"/>
      </w:tblPr>
      <w:tblGrid>
        <w:gridCol w:w="510"/>
        <w:gridCol w:w="8335"/>
        <w:gridCol w:w="8335"/>
        <w:gridCol w:w="4536"/>
      </w:tblGrid>
      <w:tr w:rsidR="00180248" w:rsidRPr="00474153" w14:paraId="004150CF" w14:textId="77777777" w:rsidTr="00E419A6">
        <w:trPr>
          <w:tblHeader/>
        </w:trPr>
        <w:tc>
          <w:tcPr>
            <w:tcW w:w="510" w:type="dxa"/>
            <w:shd w:val="clear" w:color="auto" w:fill="auto"/>
          </w:tcPr>
          <w:p w14:paraId="4B2852F2" w14:textId="77777777" w:rsidR="00180248" w:rsidRPr="00474153" w:rsidRDefault="00180248">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w:t>
            </w:r>
          </w:p>
        </w:tc>
        <w:tc>
          <w:tcPr>
            <w:tcW w:w="8335" w:type="dxa"/>
            <w:shd w:val="clear" w:color="auto" w:fill="auto"/>
          </w:tcPr>
          <w:p w14:paraId="6502D864" w14:textId="77777777" w:rsidR="00180248" w:rsidRPr="00474153" w:rsidRDefault="00C21DA9">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Corrected Q&amp;A</w:t>
            </w:r>
          </w:p>
        </w:tc>
        <w:tc>
          <w:tcPr>
            <w:tcW w:w="8335" w:type="dxa"/>
            <w:shd w:val="clear" w:color="auto" w:fill="auto"/>
          </w:tcPr>
          <w:p w14:paraId="3934634C" w14:textId="77777777" w:rsidR="00180248" w:rsidRPr="00474153" w:rsidRDefault="00C21DA9">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Current Q&amp;A</w:t>
            </w:r>
          </w:p>
        </w:tc>
        <w:tc>
          <w:tcPr>
            <w:tcW w:w="4536" w:type="dxa"/>
            <w:shd w:val="clear" w:color="auto" w:fill="auto"/>
          </w:tcPr>
          <w:p w14:paraId="29D234D3" w14:textId="77777777" w:rsidR="00180248" w:rsidRPr="00474153" w:rsidRDefault="001A2A1B">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Description</w:t>
            </w:r>
          </w:p>
        </w:tc>
      </w:tr>
      <w:tr w:rsidR="00584CBD" w:rsidRPr="00474153" w14:paraId="787CD1B0" w14:textId="77777777" w:rsidTr="00E419A6">
        <w:tc>
          <w:tcPr>
            <w:tcW w:w="510" w:type="dxa"/>
            <w:shd w:val="clear" w:color="auto" w:fill="auto"/>
          </w:tcPr>
          <w:p w14:paraId="64C5B39E" w14:textId="77777777" w:rsidR="00584CBD"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52</w:t>
            </w:r>
          </w:p>
        </w:tc>
        <w:tc>
          <w:tcPr>
            <w:tcW w:w="8335" w:type="dxa"/>
            <w:shd w:val="clear" w:color="auto" w:fill="auto"/>
          </w:tcPr>
          <w:p w14:paraId="0F88AADD" w14:textId="7D21BCC9" w:rsidR="00584CBD" w:rsidRPr="00474153" w:rsidRDefault="00584CBD">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42</w:t>
            </w:r>
            <w:r w:rsidRPr="00474153">
              <w:rPr>
                <w:rFonts w:ascii="Times New Roman" w:hAnsi="Times New Roman"/>
                <w:sz w:val="28"/>
                <w:lang w:bidi="en-US"/>
              </w:rPr>
              <w:t>: For the test on the ongoing account and transaction monitoring mechanism stated in Article 9 of the Model Guidelines, except for the manual monitoring process, if the test is conducted collectively by the head office with the overseas branch informed of the test result for reference in making an adjustment, is it feasible?</w:t>
            </w:r>
          </w:p>
          <w:p w14:paraId="090FA8D2" w14:textId="1254708B" w:rsidR="00584CBD" w:rsidRPr="00474153" w:rsidRDefault="00584CBD">
            <w:pPr>
              <w:ind w:left="641" w:hangingChars="229" w:hanging="641"/>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264137" w:rsidRPr="00474153">
              <w:rPr>
                <w:rFonts w:ascii="Times New Roman" w:hAnsi="Times New Roman" w:cs="Times New Roman"/>
                <w:color w:val="FF0000"/>
                <w:sz w:val="28"/>
                <w:u w:val="single"/>
                <w:lang w:bidi="en-US"/>
              </w:rPr>
              <w:t>42</w:t>
            </w:r>
            <w:r w:rsidRPr="00474153">
              <w:rPr>
                <w:rFonts w:ascii="Times New Roman" w:hAnsi="Times New Roman" w:cs="Times New Roman"/>
                <w:sz w:val="28"/>
                <w:lang w:bidi="en-US"/>
              </w:rPr>
              <w:t>:</w:t>
            </w:r>
          </w:p>
          <w:p w14:paraId="38CC2D2C" w14:textId="77777777" w:rsidR="00584CBD" w:rsidRPr="00474153" w:rsidRDefault="00584CBD">
            <w:pPr>
              <w:jc w:val="both"/>
              <w:rPr>
                <w:rFonts w:ascii="Times New Roman" w:eastAsia="標楷體" w:hAnsi="Times New Roman" w:cs="Times New Roman"/>
                <w:sz w:val="28"/>
                <w:szCs w:val="28"/>
              </w:rPr>
            </w:pPr>
            <w:r w:rsidRPr="00474153">
              <w:rPr>
                <w:rFonts w:ascii="Times New Roman" w:hAnsi="Times New Roman" w:cs="Times New Roman"/>
                <w:sz w:val="28"/>
                <w:lang w:bidi="en-US"/>
              </w:rPr>
              <w:t>Tests can be conducted collectively by the head office if the ongoing account and transaction monitoring system is designed and implemented consistently throughout the bank. If there is any difference in the monitoring systems adopted by the offshore branches and the head office, the offshore branches would be required to conduct their own tests.</w:t>
            </w:r>
          </w:p>
        </w:tc>
        <w:tc>
          <w:tcPr>
            <w:tcW w:w="8335" w:type="dxa"/>
            <w:shd w:val="clear" w:color="auto" w:fill="auto"/>
          </w:tcPr>
          <w:p w14:paraId="0BEDC342" w14:textId="77777777" w:rsidR="00584CBD" w:rsidRPr="00474153" w:rsidRDefault="00584CBD">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52</w:t>
            </w:r>
            <w:r w:rsidRPr="00474153">
              <w:rPr>
                <w:rFonts w:ascii="Times New Roman" w:hAnsi="Times New Roman"/>
                <w:sz w:val="28"/>
                <w:lang w:bidi="en-US"/>
              </w:rPr>
              <w:t>: For the test on the ongoing account and transaction monitoring mechanism stated in Article 9 of the Model Guidelines, except for the manual monitoring process, if the test is conducted collectively by the head office with the overseas branch informed of the test result for reference in making an adjustment, is it feasible?</w:t>
            </w:r>
          </w:p>
          <w:p w14:paraId="3B687F63" w14:textId="77777777" w:rsidR="00584CBD" w:rsidRPr="00474153" w:rsidRDefault="00584CBD">
            <w:pPr>
              <w:ind w:left="641" w:hangingChars="229" w:hanging="641"/>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52</w:t>
            </w:r>
            <w:r w:rsidRPr="00474153">
              <w:rPr>
                <w:rFonts w:ascii="Times New Roman" w:hAnsi="Times New Roman" w:cs="Times New Roman"/>
                <w:sz w:val="28"/>
                <w:lang w:bidi="en-US"/>
              </w:rPr>
              <w:t>:</w:t>
            </w:r>
          </w:p>
          <w:p w14:paraId="32EBCC96" w14:textId="77777777" w:rsidR="00584CBD" w:rsidRPr="00474153" w:rsidRDefault="00584CBD">
            <w:pPr>
              <w:jc w:val="both"/>
              <w:rPr>
                <w:rFonts w:ascii="Times New Roman" w:eastAsia="標楷體" w:hAnsi="Times New Roman" w:cs="Times New Roman"/>
                <w:sz w:val="28"/>
                <w:szCs w:val="28"/>
              </w:rPr>
            </w:pPr>
            <w:r w:rsidRPr="00474153">
              <w:rPr>
                <w:rFonts w:ascii="Times New Roman" w:hAnsi="Times New Roman" w:cs="Times New Roman"/>
                <w:sz w:val="28"/>
                <w:lang w:bidi="en-US"/>
              </w:rPr>
              <w:t>Tests can be conducted collectively by the head office if the ongoing account and transaction monitoring system is designed and implemented consistently throughout the bank. If there is any difference in the monitoring systems adopted by the offshore branches and the head office, the offshore branches would be required to conduct their own tests.</w:t>
            </w:r>
          </w:p>
        </w:tc>
        <w:tc>
          <w:tcPr>
            <w:tcW w:w="4536" w:type="dxa"/>
            <w:shd w:val="clear" w:color="auto" w:fill="auto"/>
          </w:tcPr>
          <w:p w14:paraId="1B14653F" w14:textId="77777777" w:rsidR="00584CBD" w:rsidRPr="00474153" w:rsidRDefault="00584CBD">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286C6A" w:rsidRPr="00474153" w14:paraId="13DB3257" w14:textId="77777777" w:rsidTr="00E419A6">
        <w:tc>
          <w:tcPr>
            <w:tcW w:w="510" w:type="dxa"/>
            <w:shd w:val="clear" w:color="auto" w:fill="auto"/>
          </w:tcPr>
          <w:p w14:paraId="678548CB" w14:textId="77777777" w:rsidR="00286C6A"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53</w:t>
            </w:r>
          </w:p>
        </w:tc>
        <w:tc>
          <w:tcPr>
            <w:tcW w:w="8335" w:type="dxa"/>
            <w:shd w:val="clear" w:color="auto" w:fill="auto"/>
          </w:tcPr>
          <w:p w14:paraId="7F467752" w14:textId="4C6E5259" w:rsidR="00286C6A" w:rsidRPr="00474153" w:rsidRDefault="00286C6A">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43</w:t>
            </w:r>
            <w:r w:rsidRPr="00474153">
              <w:rPr>
                <w:rFonts w:ascii="Times New Roman" w:hAnsi="Times New Roman"/>
                <w:sz w:val="28"/>
                <w:lang w:bidi="en-US"/>
              </w:rPr>
              <w:t xml:space="preserve">: What items should be included in the “Model Validation” in Subparagraph 4, Article 8 and Subparagraph 5, </w:t>
            </w:r>
            <w:r w:rsidRPr="00474153">
              <w:rPr>
                <w:rFonts w:ascii="Times New Roman" w:hAnsi="Times New Roman"/>
                <w:color w:val="FF0000"/>
                <w:sz w:val="28"/>
                <w:u w:val="single"/>
                <w:lang w:bidi="en-US"/>
              </w:rPr>
              <w:t>Paragraph 1</w:t>
            </w:r>
            <w:r w:rsidRPr="00474153">
              <w:rPr>
                <w:rFonts w:ascii="Times New Roman" w:hAnsi="Times New Roman"/>
                <w:sz w:val="28"/>
                <w:lang w:bidi="en-US"/>
              </w:rPr>
              <w:t>, Article 9 of the Model Guidelines?</w:t>
            </w:r>
          </w:p>
          <w:p w14:paraId="4D5C945A" w14:textId="3F59EF9B"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264137" w:rsidRPr="00474153">
              <w:rPr>
                <w:rFonts w:ascii="Times New Roman" w:hAnsi="Times New Roman" w:cs="Times New Roman"/>
                <w:color w:val="FF0000"/>
                <w:sz w:val="28"/>
                <w:u w:val="single"/>
                <w:lang w:bidi="en-US"/>
              </w:rPr>
              <w:t>43</w:t>
            </w:r>
            <w:r w:rsidRPr="00474153">
              <w:rPr>
                <w:rFonts w:ascii="Times New Roman" w:hAnsi="Times New Roman" w:cs="Times New Roman"/>
                <w:sz w:val="28"/>
                <w:lang w:bidi="en-US"/>
              </w:rPr>
              <w:t>:</w:t>
            </w:r>
          </w:p>
          <w:p w14:paraId="73B41B6E"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Refer to the SUPERVISORY GUIDANCE ON jointly issued in 2011 by the Board of Governors of the Federal Reserve System and the Office of the Comptroller of the Currency.</w:t>
            </w:r>
          </w:p>
          <w:p w14:paraId="5F8D49E3"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MODEL RISK MANAGEMENT </w:t>
            </w:r>
            <w:r w:rsidRPr="00474153">
              <w:rPr>
                <w:rFonts w:ascii="Times New Roman" w:hAnsi="Times New Roman" w:cs="Times New Roman"/>
                <w:sz w:val="28"/>
                <w:lang w:bidi="en-US"/>
              </w:rPr>
              <w:cr/>
              <w:t>According to the provision of Section V “MODEL VALIDATION,” the purpose of model verification is to confirm that the operation of the model meets expectations and is consistent with its design goals and business requirements. All elements of the model, including information input, processing and output, should be verified.</w:t>
            </w:r>
          </w:p>
        </w:tc>
        <w:tc>
          <w:tcPr>
            <w:tcW w:w="8335" w:type="dxa"/>
            <w:shd w:val="clear" w:color="auto" w:fill="auto"/>
          </w:tcPr>
          <w:p w14:paraId="4A587E47" w14:textId="77777777" w:rsidR="00286C6A" w:rsidRPr="00474153" w:rsidRDefault="00286C6A">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53</w:t>
            </w:r>
            <w:r w:rsidRPr="00474153">
              <w:rPr>
                <w:rFonts w:ascii="Times New Roman" w:hAnsi="Times New Roman"/>
                <w:sz w:val="28"/>
                <w:lang w:bidi="en-US"/>
              </w:rPr>
              <w:t>: What items should be included in the “Model Validation” in Subparagraph 4, Article 8 and Subparagraph 5, Article 9 of the Model Guidelines?</w:t>
            </w:r>
          </w:p>
          <w:p w14:paraId="3FF14A73"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53</w:t>
            </w:r>
            <w:r w:rsidRPr="00474153">
              <w:rPr>
                <w:rFonts w:ascii="Times New Roman" w:hAnsi="Times New Roman" w:cs="Times New Roman"/>
                <w:sz w:val="28"/>
                <w:lang w:bidi="en-US"/>
              </w:rPr>
              <w:t>:</w:t>
            </w:r>
          </w:p>
          <w:p w14:paraId="26C203C2"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Refer to the SUPERVISORY GUIDANCE ON jointly issued in 2011 by the Board of Governors of the Federal Reserve System and the Office of the Comptroller of the Currency.</w:t>
            </w:r>
          </w:p>
          <w:p w14:paraId="7C16E51E"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MODEL RISK MANAGEMENT </w:t>
            </w:r>
            <w:r w:rsidRPr="00474153">
              <w:rPr>
                <w:rFonts w:ascii="Times New Roman" w:hAnsi="Times New Roman" w:cs="Times New Roman"/>
                <w:sz w:val="28"/>
                <w:lang w:bidi="en-US"/>
              </w:rPr>
              <w:cr/>
              <w:t>According to the provision of Section V “MODEL VALIDATION,” the purpose of model verification is to confirm that the operation of the model meets expectations and is consistent with its design goals and business requirements. All elements of the model, including information input, processing and output, should be verified.</w:t>
            </w:r>
          </w:p>
        </w:tc>
        <w:tc>
          <w:tcPr>
            <w:tcW w:w="4536" w:type="dxa"/>
            <w:shd w:val="clear" w:color="auto" w:fill="auto"/>
          </w:tcPr>
          <w:p w14:paraId="1560A038" w14:textId="77777777" w:rsidR="00286C6A" w:rsidRPr="00474153" w:rsidRDefault="00286C6A" w:rsidP="00A56215">
            <w:pPr>
              <w:pStyle w:val="a4"/>
              <w:numPr>
                <w:ilvl w:val="0"/>
                <w:numId w:val="131"/>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Question number changed</w:t>
            </w:r>
          </w:p>
          <w:p w14:paraId="36EF429C" w14:textId="473822D6" w:rsidR="00286C6A" w:rsidRPr="00474153" w:rsidRDefault="00286C6A" w:rsidP="00A56215">
            <w:pPr>
              <w:pStyle w:val="a4"/>
              <w:numPr>
                <w:ilvl w:val="0"/>
                <w:numId w:val="131"/>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Amend the order of item by referring to the contents Note 2 of Q14.</w:t>
            </w:r>
          </w:p>
        </w:tc>
      </w:tr>
      <w:tr w:rsidR="00286C6A" w:rsidRPr="00474153" w14:paraId="0169C20C" w14:textId="77777777" w:rsidTr="00E419A6">
        <w:tc>
          <w:tcPr>
            <w:tcW w:w="510" w:type="dxa"/>
            <w:shd w:val="clear" w:color="auto" w:fill="auto"/>
          </w:tcPr>
          <w:p w14:paraId="5B26FB03" w14:textId="77777777" w:rsidR="00286C6A"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54</w:t>
            </w:r>
          </w:p>
        </w:tc>
        <w:tc>
          <w:tcPr>
            <w:tcW w:w="8335" w:type="dxa"/>
            <w:shd w:val="clear" w:color="auto" w:fill="auto"/>
          </w:tcPr>
          <w:p w14:paraId="01787FE7" w14:textId="4F9D51DE"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00264137" w:rsidRPr="00474153">
              <w:rPr>
                <w:rFonts w:ascii="Times New Roman" w:hAnsi="Times New Roman" w:cs="Times New Roman"/>
                <w:color w:val="FF0000"/>
                <w:sz w:val="28"/>
                <w:u w:val="single"/>
                <w:lang w:bidi="en-US"/>
              </w:rPr>
              <w:t>44</w:t>
            </w:r>
            <w:r w:rsidRPr="00474153">
              <w:rPr>
                <w:rFonts w:ascii="Times New Roman" w:hAnsi="Times New Roman" w:cs="Times New Roman"/>
                <w:sz w:val="28"/>
                <w:lang w:bidi="en-US"/>
              </w:rPr>
              <w:t>: Name check should be performed based on risk. Would it be possible to give an example?</w:t>
            </w:r>
          </w:p>
          <w:p w14:paraId="06CF8448" w14:textId="615AA19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264137" w:rsidRPr="00474153">
              <w:rPr>
                <w:rFonts w:ascii="Times New Roman" w:hAnsi="Times New Roman" w:cs="Times New Roman"/>
                <w:color w:val="FF0000"/>
                <w:sz w:val="28"/>
                <w:u w:val="single"/>
                <w:lang w:bidi="en-US"/>
              </w:rPr>
              <w:t>44</w:t>
            </w:r>
            <w:r w:rsidRPr="00474153">
              <w:rPr>
                <w:rFonts w:ascii="Times New Roman" w:hAnsi="Times New Roman" w:cs="Times New Roman"/>
                <w:sz w:val="28"/>
                <w:lang w:bidi="en-US"/>
              </w:rPr>
              <w:t>:</w:t>
            </w:r>
          </w:p>
          <w:p w14:paraId="62127CF2"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When detecting, comparing and checking the name of a customer, customer’s senior managers, beneficial owners or transaction-related parties, banks should design procedures based on the risks presented to them and apply checks at various timing and frequency for different groups of customers.</w:t>
            </w:r>
          </w:p>
        </w:tc>
        <w:tc>
          <w:tcPr>
            <w:tcW w:w="8335" w:type="dxa"/>
            <w:shd w:val="clear" w:color="auto" w:fill="auto"/>
          </w:tcPr>
          <w:p w14:paraId="7A503D7E"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Q</w:t>
            </w:r>
            <w:r w:rsidRPr="00474153">
              <w:rPr>
                <w:rFonts w:ascii="Times New Roman" w:hAnsi="Times New Roman" w:cs="Times New Roman"/>
                <w:color w:val="FF0000"/>
                <w:sz w:val="28"/>
                <w:u w:val="single"/>
                <w:lang w:bidi="en-US"/>
              </w:rPr>
              <w:t>54</w:t>
            </w:r>
            <w:r w:rsidRPr="00474153">
              <w:rPr>
                <w:rFonts w:ascii="Times New Roman" w:hAnsi="Times New Roman" w:cs="Times New Roman"/>
                <w:sz w:val="28"/>
                <w:lang w:bidi="en-US"/>
              </w:rPr>
              <w:t>: Name check should be performed based on risk. Would it be possible to give an example?</w:t>
            </w:r>
          </w:p>
          <w:p w14:paraId="735410BE"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54</w:t>
            </w:r>
            <w:r w:rsidRPr="00474153">
              <w:rPr>
                <w:rFonts w:ascii="Times New Roman" w:hAnsi="Times New Roman" w:cs="Times New Roman"/>
                <w:sz w:val="28"/>
                <w:lang w:bidi="en-US"/>
              </w:rPr>
              <w:t>:</w:t>
            </w:r>
          </w:p>
          <w:p w14:paraId="7B134088" w14:textId="77777777" w:rsidR="00286C6A" w:rsidRPr="00474153" w:rsidRDefault="00286C6A">
            <w:pPr>
              <w:jc w:val="both"/>
              <w:rPr>
                <w:rFonts w:ascii="Times New Roman" w:eastAsia="標楷體" w:hAnsi="Times New Roman" w:cs="Times New Roman"/>
                <w:sz w:val="28"/>
                <w:szCs w:val="28"/>
              </w:rPr>
            </w:pPr>
            <w:r w:rsidRPr="00474153">
              <w:rPr>
                <w:rFonts w:ascii="Times New Roman" w:hAnsi="Times New Roman" w:cs="Times New Roman"/>
                <w:sz w:val="28"/>
                <w:lang w:bidi="en-US"/>
              </w:rPr>
              <w:t>When detecting, comparing and checking the name of a customer, customer’s senior managers, beneficial owners or transaction-related parties, banks should design procedures based on the risks presented to them and apply checks at various timing and frequency for different groups of customers.</w:t>
            </w:r>
          </w:p>
        </w:tc>
        <w:tc>
          <w:tcPr>
            <w:tcW w:w="4536" w:type="dxa"/>
            <w:shd w:val="clear" w:color="auto" w:fill="auto"/>
          </w:tcPr>
          <w:p w14:paraId="2C9F96D2" w14:textId="77777777" w:rsidR="00286C6A" w:rsidRPr="00474153" w:rsidRDefault="00286C6A">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286C6A" w:rsidRPr="00474153" w14:paraId="4917C9FE" w14:textId="77777777" w:rsidTr="00E419A6">
        <w:tc>
          <w:tcPr>
            <w:tcW w:w="510" w:type="dxa"/>
            <w:shd w:val="clear" w:color="auto" w:fill="auto"/>
          </w:tcPr>
          <w:p w14:paraId="5145EBF9" w14:textId="77777777" w:rsidR="00286C6A"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55</w:t>
            </w:r>
          </w:p>
        </w:tc>
        <w:tc>
          <w:tcPr>
            <w:tcW w:w="8335" w:type="dxa"/>
            <w:shd w:val="clear" w:color="auto" w:fill="auto"/>
          </w:tcPr>
          <w:p w14:paraId="027A9058" w14:textId="77777777" w:rsidR="00286C6A" w:rsidRPr="00474153" w:rsidRDefault="00286C6A">
            <w:pPr>
              <w:jc w:val="both"/>
              <w:rPr>
                <w:rFonts w:ascii="Times New Roman" w:eastAsia="標楷體" w:hAnsi="Times New Roman" w:cs="Times New Roman"/>
                <w:bCs/>
                <w:caps/>
                <w:sz w:val="28"/>
                <w:szCs w:val="28"/>
              </w:rPr>
            </w:pPr>
          </w:p>
        </w:tc>
        <w:tc>
          <w:tcPr>
            <w:tcW w:w="8335" w:type="dxa"/>
            <w:shd w:val="clear" w:color="auto" w:fill="auto"/>
          </w:tcPr>
          <w:p w14:paraId="33003997" w14:textId="77777777" w:rsidR="00286C6A" w:rsidRPr="00474153" w:rsidRDefault="00286C6A">
            <w:pPr>
              <w:pStyle w:val="a4"/>
              <w:snapToGrid w:val="0"/>
              <w:spacing w:line="400" w:lineRule="exact"/>
              <w:ind w:leftChars="6" w:left="644" w:hangingChars="225" w:hanging="63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Q55: Are banks required to check names (such as the sanction list) for NTD domestic wire transfers?</w:t>
            </w:r>
          </w:p>
          <w:p w14:paraId="2AAE237C" w14:textId="77777777" w:rsidR="00286C6A" w:rsidRPr="00474153" w:rsidRDefault="00286C6A">
            <w:pPr>
              <w:pStyle w:val="a4"/>
              <w:snapToGrid w:val="0"/>
              <w:spacing w:line="400" w:lineRule="exact"/>
              <w:ind w:leftChars="6" w:left="714" w:hangingChars="250" w:hanging="700"/>
              <w:jc w:val="both"/>
              <w:rPr>
                <w:rFonts w:ascii="Times New Roman" w:eastAsia="標楷體" w:hAnsi="Times New Roman"/>
                <w:bCs/>
                <w:caps/>
                <w:color w:val="FF0000"/>
                <w:sz w:val="28"/>
                <w:szCs w:val="28"/>
              </w:rPr>
            </w:pPr>
            <w:r w:rsidRPr="00474153">
              <w:rPr>
                <w:rFonts w:ascii="Times New Roman" w:hAnsi="Times New Roman"/>
                <w:color w:val="FF0000"/>
                <w:sz w:val="28"/>
                <w:lang w:bidi="en-US"/>
              </w:rPr>
              <w:t>A55:</w:t>
            </w:r>
          </w:p>
          <w:p w14:paraId="75941D6B" w14:textId="77777777" w:rsidR="00286C6A" w:rsidRPr="00474153" w:rsidRDefault="00286C6A">
            <w:pPr>
              <w:jc w:val="both"/>
              <w:rPr>
                <w:rFonts w:ascii="Times New Roman" w:eastAsia="標楷體" w:hAnsi="Times New Roman" w:cs="Times New Roman"/>
                <w:bCs/>
                <w:caps/>
                <w:color w:val="FF0000"/>
                <w:sz w:val="28"/>
                <w:szCs w:val="28"/>
              </w:rPr>
            </w:pPr>
            <w:r w:rsidRPr="00474153">
              <w:rPr>
                <w:rFonts w:ascii="Times New Roman" w:hAnsi="Times New Roman" w:cs="Times New Roman"/>
                <w:color w:val="FF0000"/>
                <w:sz w:val="28"/>
                <w:lang w:bidi="en-US"/>
              </w:rPr>
              <w:t>Banks shall adopt a risk-based approach to develop their own name-check systems. The scope and method of checks performed shall be prioritized based on the risk assessment outcome, effect of risk mitigation, resource allocation, etc. of each bank.</w:t>
            </w:r>
          </w:p>
        </w:tc>
        <w:tc>
          <w:tcPr>
            <w:tcW w:w="4536" w:type="dxa"/>
            <w:shd w:val="clear" w:color="auto" w:fill="auto"/>
          </w:tcPr>
          <w:p w14:paraId="0D67258A" w14:textId="57476DF0" w:rsidR="00286C6A" w:rsidRPr="00474153" w:rsidRDefault="002D275D" w:rsidP="00A56215">
            <w:pPr>
              <w:rPr>
                <w:rFonts w:ascii="Times New Roman" w:eastAsia="標楷體" w:hAnsi="Times New Roman" w:cs="Times New Roman"/>
                <w:sz w:val="28"/>
                <w:szCs w:val="28"/>
              </w:rPr>
            </w:pPr>
            <w:r w:rsidRPr="00474153">
              <w:rPr>
                <w:rFonts w:ascii="Times New Roman" w:hAnsi="Times New Roman" w:cs="Times New Roman"/>
                <w:sz w:val="28"/>
                <w:lang w:bidi="en-US"/>
              </w:rPr>
              <w:t>This question is deleted because it involves the interpretation of the Counter-Terrorism Financing Act by the Ministry of Justice.</w:t>
            </w:r>
          </w:p>
        </w:tc>
      </w:tr>
      <w:tr w:rsidR="008B7BF6" w:rsidRPr="00474153" w14:paraId="46B5AF32" w14:textId="77777777" w:rsidTr="00E419A6">
        <w:tc>
          <w:tcPr>
            <w:tcW w:w="510" w:type="dxa"/>
            <w:shd w:val="clear" w:color="auto" w:fill="auto"/>
          </w:tcPr>
          <w:p w14:paraId="30ACEB38" w14:textId="77777777" w:rsidR="008B7BF6"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56</w:t>
            </w:r>
          </w:p>
        </w:tc>
        <w:tc>
          <w:tcPr>
            <w:tcW w:w="8335" w:type="dxa"/>
            <w:shd w:val="clear" w:color="auto" w:fill="auto"/>
          </w:tcPr>
          <w:p w14:paraId="74C883EE" w14:textId="6A5177F6" w:rsidR="008B7BF6" w:rsidRPr="00474153" w:rsidRDefault="008B7BF6">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F61791" w:rsidRPr="00474153">
              <w:rPr>
                <w:rFonts w:ascii="Times New Roman" w:hAnsi="Times New Roman"/>
                <w:color w:val="FF0000"/>
                <w:sz w:val="28"/>
                <w:u w:val="single"/>
                <w:lang w:bidi="en-US"/>
              </w:rPr>
              <w:t>45</w:t>
            </w:r>
            <w:r w:rsidRPr="00474153">
              <w:rPr>
                <w:rFonts w:ascii="Times New Roman" w:hAnsi="Times New Roman"/>
                <w:sz w:val="28"/>
                <w:lang w:bidi="en-US"/>
              </w:rPr>
              <w:t>: According to Article 1</w:t>
            </w:r>
            <w:r w:rsidRPr="00474153">
              <w:rPr>
                <w:rFonts w:ascii="Times New Roman" w:hAnsi="Times New Roman"/>
                <w:color w:val="FF0000"/>
                <w:sz w:val="28"/>
                <w:u w:val="single"/>
                <w:lang w:bidi="en-US"/>
              </w:rPr>
              <w:t>3</w:t>
            </w:r>
            <w:r w:rsidRPr="00474153">
              <w:rPr>
                <w:rFonts w:ascii="Times New Roman" w:hAnsi="Times New Roman"/>
                <w:sz w:val="28"/>
                <w:lang w:bidi="en-US"/>
              </w:rPr>
              <w:t xml:space="preserve"> of the Model Guidelines, the remitter’s information should include address/identity card number/date of birth. Does this provision apply to non-natural person customers?</w:t>
            </w:r>
          </w:p>
          <w:p w14:paraId="4B7A3154" w14:textId="5274168C" w:rsidR="008B7BF6" w:rsidRPr="00474153" w:rsidRDefault="008B7BF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F61791" w:rsidRPr="00474153">
              <w:rPr>
                <w:rFonts w:ascii="Times New Roman" w:hAnsi="Times New Roman" w:cs="Times New Roman"/>
                <w:color w:val="FF0000"/>
                <w:sz w:val="28"/>
                <w:u w:val="single"/>
                <w:lang w:bidi="en-US"/>
              </w:rPr>
              <w:t>45</w:t>
            </w:r>
            <w:r w:rsidRPr="00474153">
              <w:rPr>
                <w:rFonts w:ascii="Times New Roman" w:hAnsi="Times New Roman" w:cs="Times New Roman"/>
                <w:sz w:val="28"/>
                <w:lang w:bidi="en-US"/>
              </w:rPr>
              <w:t>:</w:t>
            </w:r>
          </w:p>
          <w:p w14:paraId="29C344B3" w14:textId="77777777" w:rsidR="008B7BF6" w:rsidRPr="00474153" w:rsidRDefault="008B7BF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Article 1</w:t>
            </w:r>
            <w:r w:rsidRPr="00474153">
              <w:rPr>
                <w:rFonts w:ascii="Times New Roman" w:hAnsi="Times New Roman" w:cs="Times New Roman"/>
                <w:color w:val="FF0000"/>
                <w:sz w:val="28"/>
                <w:u w:val="single"/>
                <w:lang w:bidi="en-US"/>
              </w:rPr>
              <w:t>3</w:t>
            </w:r>
            <w:r w:rsidRPr="00474153">
              <w:rPr>
                <w:rFonts w:ascii="Times New Roman" w:hAnsi="Times New Roman" w:cs="Times New Roman"/>
                <w:sz w:val="28"/>
                <w:lang w:bidi="en-US"/>
              </w:rPr>
              <w:t xml:space="preserve"> of the Model Guidelines, banks shall keep the following information of remitters who made domestic remittances in New Taiwan dollars:</w:t>
            </w:r>
          </w:p>
          <w:p w14:paraId="432F510E" w14:textId="77777777" w:rsidR="008B7BF6" w:rsidRPr="00474153" w:rsidRDefault="008B7BF6">
            <w:pPr>
              <w:pStyle w:val="a4"/>
              <w:numPr>
                <w:ilvl w:val="0"/>
                <w:numId w:val="2"/>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Name;</w:t>
            </w:r>
          </w:p>
          <w:p w14:paraId="0945719D" w14:textId="77777777" w:rsidR="008B7BF6" w:rsidRPr="00474153" w:rsidRDefault="008B7BF6">
            <w:pPr>
              <w:pStyle w:val="a4"/>
              <w:numPr>
                <w:ilvl w:val="0"/>
                <w:numId w:val="2"/>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Debiting account number; and</w:t>
            </w:r>
          </w:p>
          <w:p w14:paraId="48243A40" w14:textId="77777777" w:rsidR="008B7BF6" w:rsidRPr="00474153" w:rsidRDefault="008B7BF6">
            <w:pPr>
              <w:pStyle w:val="a4"/>
              <w:numPr>
                <w:ilvl w:val="0"/>
                <w:numId w:val="2"/>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 xml:space="preserve">any of the following: </w:t>
            </w:r>
          </w:p>
          <w:p w14:paraId="30DB7527" w14:textId="77777777" w:rsidR="008B7BF6" w:rsidRPr="00474153" w:rsidRDefault="008B7BF6">
            <w:pPr>
              <w:pStyle w:val="a4"/>
              <w:numPr>
                <w:ilvl w:val="0"/>
                <w:numId w:val="3"/>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Address</w:t>
            </w:r>
          </w:p>
          <w:p w14:paraId="6E2A3314" w14:textId="77777777" w:rsidR="008B7BF6" w:rsidRPr="00474153" w:rsidRDefault="008B7BF6">
            <w:pPr>
              <w:pStyle w:val="a4"/>
              <w:numPr>
                <w:ilvl w:val="0"/>
                <w:numId w:val="3"/>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ID card number</w:t>
            </w:r>
          </w:p>
          <w:p w14:paraId="63F68544" w14:textId="77777777" w:rsidR="008B7BF6" w:rsidRPr="00474153" w:rsidRDefault="008B7BF6">
            <w:pPr>
              <w:pStyle w:val="a4"/>
              <w:numPr>
                <w:ilvl w:val="0"/>
                <w:numId w:val="3"/>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Date and place of birth</w:t>
            </w:r>
          </w:p>
          <w:p w14:paraId="03637D6A" w14:textId="77777777" w:rsidR="008B7BF6" w:rsidRPr="00474153" w:rsidRDefault="008B7BF6">
            <w:pPr>
              <w:jc w:val="both"/>
              <w:rPr>
                <w:rFonts w:ascii="Times New Roman" w:eastAsia="標楷體" w:hAnsi="Times New Roman" w:cs="Times New Roman"/>
                <w:sz w:val="28"/>
                <w:szCs w:val="28"/>
              </w:rPr>
            </w:pPr>
            <w:r w:rsidRPr="00474153">
              <w:rPr>
                <w:rFonts w:ascii="Times New Roman" w:hAnsi="Times New Roman" w:cs="Times New Roman"/>
                <w:sz w:val="28"/>
                <w:lang w:bidi="en-US"/>
              </w:rPr>
              <w:t>For non-natural person customers, input the entity’s name in “Name,” business ID number in “ID card number,” and date of establishment and place of registration in “Date and place of birth.”</w:t>
            </w:r>
          </w:p>
        </w:tc>
        <w:tc>
          <w:tcPr>
            <w:tcW w:w="8335" w:type="dxa"/>
            <w:shd w:val="clear" w:color="auto" w:fill="auto"/>
          </w:tcPr>
          <w:p w14:paraId="1ACEFAB7" w14:textId="77777777" w:rsidR="008B7BF6" w:rsidRPr="00474153" w:rsidRDefault="008B7BF6">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56</w:t>
            </w:r>
            <w:r w:rsidRPr="00474153">
              <w:rPr>
                <w:rFonts w:ascii="Times New Roman" w:hAnsi="Times New Roman"/>
                <w:sz w:val="28"/>
                <w:lang w:bidi="en-US"/>
              </w:rPr>
              <w:t>: According to Article 1</w:t>
            </w:r>
            <w:r w:rsidRPr="00474153">
              <w:rPr>
                <w:rFonts w:ascii="Times New Roman" w:hAnsi="Times New Roman"/>
                <w:color w:val="FF0000"/>
                <w:sz w:val="28"/>
                <w:u w:val="single"/>
                <w:lang w:bidi="en-US"/>
              </w:rPr>
              <w:t>2</w:t>
            </w:r>
            <w:r w:rsidRPr="00474153">
              <w:rPr>
                <w:rFonts w:ascii="Times New Roman" w:hAnsi="Times New Roman"/>
                <w:sz w:val="28"/>
                <w:lang w:bidi="en-US"/>
              </w:rPr>
              <w:t xml:space="preserve"> of the Model Guidelines, the remitter’s information should include address/identity card number/date of birth. Does this provision apply to non-natural person customers?</w:t>
            </w:r>
          </w:p>
          <w:p w14:paraId="11750298" w14:textId="77777777" w:rsidR="008B7BF6" w:rsidRPr="00474153" w:rsidRDefault="008B7BF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56</w:t>
            </w:r>
            <w:r w:rsidRPr="00474153">
              <w:rPr>
                <w:rFonts w:ascii="Times New Roman" w:hAnsi="Times New Roman" w:cs="Times New Roman"/>
                <w:sz w:val="28"/>
                <w:lang w:bidi="en-US"/>
              </w:rPr>
              <w:t>:</w:t>
            </w:r>
          </w:p>
          <w:p w14:paraId="50F138F7" w14:textId="77777777" w:rsidR="008B7BF6" w:rsidRPr="00474153" w:rsidRDefault="008B7BF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Article 1</w:t>
            </w:r>
            <w:r w:rsidRPr="00474153">
              <w:rPr>
                <w:rFonts w:ascii="Times New Roman" w:hAnsi="Times New Roman" w:cs="Times New Roman"/>
                <w:color w:val="FF0000"/>
                <w:sz w:val="28"/>
                <w:u w:val="single"/>
                <w:lang w:bidi="en-US"/>
              </w:rPr>
              <w:t>2</w:t>
            </w:r>
            <w:r w:rsidRPr="00474153">
              <w:rPr>
                <w:rFonts w:ascii="Times New Roman" w:hAnsi="Times New Roman" w:cs="Times New Roman"/>
                <w:sz w:val="28"/>
                <w:lang w:bidi="en-US"/>
              </w:rPr>
              <w:t xml:space="preserve"> of the Model Guidelines, banks shall keep the following information of remitters who made domestic remittances in New Taiwan dollars:</w:t>
            </w:r>
          </w:p>
          <w:p w14:paraId="51233AF7" w14:textId="77777777" w:rsidR="008B7BF6" w:rsidRPr="00474153" w:rsidRDefault="008B7BF6">
            <w:pPr>
              <w:pStyle w:val="a4"/>
              <w:numPr>
                <w:ilvl w:val="0"/>
                <w:numId w:val="70"/>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Name;</w:t>
            </w:r>
          </w:p>
          <w:p w14:paraId="4F99EA66" w14:textId="77777777" w:rsidR="008B7BF6" w:rsidRPr="00474153" w:rsidRDefault="008B7BF6">
            <w:pPr>
              <w:pStyle w:val="a4"/>
              <w:numPr>
                <w:ilvl w:val="0"/>
                <w:numId w:val="70"/>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Debiting account number; and</w:t>
            </w:r>
          </w:p>
          <w:p w14:paraId="5EC22EA2" w14:textId="77777777" w:rsidR="008B7BF6" w:rsidRPr="00474153" w:rsidRDefault="008B7BF6">
            <w:pPr>
              <w:pStyle w:val="a4"/>
              <w:numPr>
                <w:ilvl w:val="0"/>
                <w:numId w:val="70"/>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 xml:space="preserve">any of the following: </w:t>
            </w:r>
          </w:p>
          <w:p w14:paraId="5A83E60D" w14:textId="77777777" w:rsidR="008B7BF6" w:rsidRPr="00474153" w:rsidRDefault="008B7BF6">
            <w:pPr>
              <w:pStyle w:val="a4"/>
              <w:numPr>
                <w:ilvl w:val="0"/>
                <w:numId w:val="72"/>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Address</w:t>
            </w:r>
          </w:p>
          <w:p w14:paraId="111D5B77" w14:textId="77777777" w:rsidR="008B7BF6" w:rsidRPr="00474153" w:rsidRDefault="008B7BF6">
            <w:pPr>
              <w:pStyle w:val="a4"/>
              <w:numPr>
                <w:ilvl w:val="0"/>
                <w:numId w:val="72"/>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ID card number</w:t>
            </w:r>
          </w:p>
          <w:p w14:paraId="2E4A966F" w14:textId="77777777" w:rsidR="008B7BF6" w:rsidRPr="00474153" w:rsidRDefault="008B7BF6">
            <w:pPr>
              <w:pStyle w:val="a4"/>
              <w:numPr>
                <w:ilvl w:val="0"/>
                <w:numId w:val="72"/>
              </w:numPr>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Date and place of birth</w:t>
            </w:r>
          </w:p>
          <w:p w14:paraId="7E79EE9F" w14:textId="77777777" w:rsidR="008B7BF6" w:rsidRPr="00474153" w:rsidRDefault="008B7BF6">
            <w:pPr>
              <w:jc w:val="both"/>
              <w:rPr>
                <w:rFonts w:ascii="Times New Roman" w:eastAsia="標楷體" w:hAnsi="Times New Roman" w:cs="Times New Roman"/>
                <w:sz w:val="28"/>
                <w:szCs w:val="28"/>
              </w:rPr>
            </w:pPr>
            <w:r w:rsidRPr="00474153">
              <w:rPr>
                <w:rFonts w:ascii="Times New Roman" w:hAnsi="Times New Roman" w:cs="Times New Roman"/>
                <w:sz w:val="28"/>
                <w:lang w:bidi="en-US"/>
              </w:rPr>
              <w:t>For non-natural person customers, input the entity’s name in “Name,” business ID number in “ID card number,” and date of establishment and place of registration in “Date and place of birth.”</w:t>
            </w:r>
          </w:p>
        </w:tc>
        <w:tc>
          <w:tcPr>
            <w:tcW w:w="4536" w:type="dxa"/>
            <w:shd w:val="clear" w:color="auto" w:fill="auto"/>
          </w:tcPr>
          <w:p w14:paraId="26C442D9" w14:textId="77777777" w:rsidR="008B7BF6" w:rsidRPr="00474153" w:rsidRDefault="008B7BF6" w:rsidP="00A56215">
            <w:pPr>
              <w:pStyle w:val="a4"/>
              <w:numPr>
                <w:ilvl w:val="0"/>
                <w:numId w:val="132"/>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Question number changed</w:t>
            </w:r>
          </w:p>
          <w:p w14:paraId="524546B0" w14:textId="77777777" w:rsidR="008B7BF6" w:rsidRPr="00474153" w:rsidRDefault="008B7BF6" w:rsidP="00A56215">
            <w:pPr>
              <w:pStyle w:val="a4"/>
              <w:numPr>
                <w:ilvl w:val="0"/>
                <w:numId w:val="132"/>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The original Article 12 of the Model Guidelines has been adjusted as Article 13; therefore, the cited provisions have been adjusted accordingly.</w:t>
            </w:r>
          </w:p>
        </w:tc>
      </w:tr>
      <w:tr w:rsidR="00954F19" w:rsidRPr="00474153" w14:paraId="483C92FD" w14:textId="77777777" w:rsidTr="00E419A6">
        <w:tc>
          <w:tcPr>
            <w:tcW w:w="510" w:type="dxa"/>
            <w:shd w:val="clear" w:color="auto" w:fill="auto"/>
          </w:tcPr>
          <w:p w14:paraId="430EE229" w14:textId="77777777" w:rsidR="00954F19"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57</w:t>
            </w:r>
          </w:p>
        </w:tc>
        <w:tc>
          <w:tcPr>
            <w:tcW w:w="8335" w:type="dxa"/>
            <w:shd w:val="clear" w:color="auto" w:fill="auto"/>
          </w:tcPr>
          <w:p w14:paraId="2D07264C" w14:textId="4A91CE34" w:rsidR="00954F19" w:rsidRPr="00474153" w:rsidRDefault="00954F19">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F61791" w:rsidRPr="00474153">
              <w:rPr>
                <w:rFonts w:ascii="Times New Roman" w:hAnsi="Times New Roman"/>
                <w:color w:val="FF0000"/>
                <w:sz w:val="28"/>
                <w:u w:val="single"/>
                <w:lang w:bidi="en-US"/>
              </w:rPr>
              <w:t>46</w:t>
            </w:r>
            <w:r w:rsidRPr="00474153">
              <w:rPr>
                <w:rFonts w:ascii="Times New Roman" w:hAnsi="Times New Roman"/>
                <w:sz w:val="28"/>
                <w:lang w:bidi="en-US"/>
              </w:rPr>
              <w:t xml:space="preserve">: Should the bank continue to accept transactions from the account after filing a suspicious ML/TF transaction against such </w:t>
            </w:r>
            <w:r w:rsidRPr="00474153">
              <w:rPr>
                <w:rFonts w:ascii="Times New Roman" w:hAnsi="Times New Roman"/>
                <w:sz w:val="28"/>
                <w:lang w:bidi="en-US"/>
              </w:rPr>
              <w:lastRenderedPageBreak/>
              <w:t>accountholders?</w:t>
            </w:r>
          </w:p>
          <w:p w14:paraId="0654FE91" w14:textId="56A07675" w:rsidR="00954F19" w:rsidRPr="00474153" w:rsidRDefault="00954F19">
            <w:pPr>
              <w:ind w:left="725" w:hangingChars="259" w:hanging="725"/>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F61791" w:rsidRPr="00474153">
              <w:rPr>
                <w:rFonts w:ascii="Times New Roman" w:hAnsi="Times New Roman" w:cs="Times New Roman"/>
                <w:color w:val="FF0000"/>
                <w:sz w:val="28"/>
                <w:u w:val="single"/>
                <w:lang w:bidi="en-US"/>
              </w:rPr>
              <w:t>46</w:t>
            </w:r>
            <w:r w:rsidRPr="00474153">
              <w:rPr>
                <w:rFonts w:ascii="Times New Roman" w:hAnsi="Times New Roman" w:cs="Times New Roman"/>
                <w:sz w:val="28"/>
                <w:lang w:bidi="en-US"/>
              </w:rPr>
              <w:t>:</w:t>
            </w:r>
          </w:p>
          <w:p w14:paraId="05B6A2B2" w14:textId="77777777" w:rsidR="00954F19" w:rsidRPr="00474153" w:rsidRDefault="00954F19">
            <w:pPr>
              <w:jc w:val="both"/>
              <w:rPr>
                <w:rFonts w:ascii="Times New Roman" w:eastAsia="標楷體" w:hAnsi="Times New Roman" w:cs="Times New Roman"/>
                <w:sz w:val="28"/>
                <w:szCs w:val="28"/>
              </w:rPr>
            </w:pPr>
            <w:r w:rsidRPr="00474153">
              <w:rPr>
                <w:rFonts w:ascii="Times New Roman" w:hAnsi="Times New Roman" w:cs="Times New Roman"/>
                <w:sz w:val="28"/>
                <w:lang w:bidi="en-US"/>
              </w:rPr>
              <w:t>Once a bank has reported a suspicious ML/TF transaction by a customer, the bank may still accept the customer’s transaction request unless otherwise stipulated by law or if the customer exhibits any of the circumstances listed in Item 8, Subparagraph 1, Article 4 of the Model Guidelines.</w:t>
            </w:r>
          </w:p>
        </w:tc>
        <w:tc>
          <w:tcPr>
            <w:tcW w:w="8335" w:type="dxa"/>
            <w:shd w:val="clear" w:color="auto" w:fill="auto"/>
          </w:tcPr>
          <w:p w14:paraId="4A8C4BF9" w14:textId="77777777" w:rsidR="00954F19" w:rsidRPr="00474153" w:rsidRDefault="00954F19">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57</w:t>
            </w:r>
            <w:r w:rsidRPr="00474153">
              <w:rPr>
                <w:rFonts w:ascii="Times New Roman" w:hAnsi="Times New Roman"/>
                <w:sz w:val="28"/>
                <w:lang w:bidi="en-US"/>
              </w:rPr>
              <w:t xml:space="preserve">: Should the bank continue to accept transactions from the account after filing a suspected money laundering or terrorism financing </w:t>
            </w:r>
            <w:r w:rsidRPr="00474153">
              <w:rPr>
                <w:rFonts w:ascii="Times New Roman" w:hAnsi="Times New Roman"/>
                <w:sz w:val="28"/>
                <w:lang w:bidi="en-US"/>
              </w:rPr>
              <w:lastRenderedPageBreak/>
              <w:t>transaction against such accountholders?</w:t>
            </w:r>
          </w:p>
          <w:p w14:paraId="034B69F9" w14:textId="77777777" w:rsidR="00954F19" w:rsidRPr="00474153" w:rsidRDefault="00954F19">
            <w:pPr>
              <w:ind w:left="725" w:hangingChars="259" w:hanging="725"/>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57</w:t>
            </w:r>
            <w:r w:rsidRPr="00474153">
              <w:rPr>
                <w:rFonts w:ascii="Times New Roman" w:hAnsi="Times New Roman" w:cs="Times New Roman"/>
                <w:sz w:val="28"/>
                <w:lang w:bidi="en-US"/>
              </w:rPr>
              <w:t>:</w:t>
            </w:r>
          </w:p>
          <w:p w14:paraId="7F2D391D" w14:textId="77777777" w:rsidR="00954F19" w:rsidRPr="00474153" w:rsidRDefault="00954F19">
            <w:pPr>
              <w:jc w:val="both"/>
              <w:rPr>
                <w:rFonts w:ascii="Times New Roman" w:eastAsia="標楷體" w:hAnsi="Times New Roman" w:cs="Times New Roman"/>
                <w:sz w:val="28"/>
                <w:szCs w:val="28"/>
              </w:rPr>
            </w:pPr>
            <w:r w:rsidRPr="00474153">
              <w:rPr>
                <w:rFonts w:ascii="Times New Roman" w:hAnsi="Times New Roman" w:cs="Times New Roman"/>
                <w:sz w:val="28"/>
                <w:lang w:bidi="en-US"/>
              </w:rPr>
              <w:t>Once a bank has reported a suspicious ML/TF transaction by a customer, the bank may still accept the customer’s transaction request unless otherwise stipulated by law or if the customer exhibits any of the circumstances listed in Item 8, Subparagraph 1, Article 4 of the Model Guidelines.</w:t>
            </w:r>
          </w:p>
        </w:tc>
        <w:tc>
          <w:tcPr>
            <w:tcW w:w="4536" w:type="dxa"/>
            <w:shd w:val="clear" w:color="auto" w:fill="auto"/>
          </w:tcPr>
          <w:p w14:paraId="04F50E91" w14:textId="77777777" w:rsidR="00954F19" w:rsidRPr="00474153" w:rsidRDefault="00954F19">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7461CE" w:rsidRPr="00474153" w14:paraId="2AD1B8CF" w14:textId="77777777" w:rsidTr="00E419A6">
        <w:tc>
          <w:tcPr>
            <w:tcW w:w="510" w:type="dxa"/>
            <w:shd w:val="clear" w:color="auto" w:fill="auto"/>
          </w:tcPr>
          <w:p w14:paraId="56DFC43B" w14:textId="77777777" w:rsidR="007461CE"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58</w:t>
            </w:r>
          </w:p>
        </w:tc>
        <w:tc>
          <w:tcPr>
            <w:tcW w:w="8335" w:type="dxa"/>
            <w:shd w:val="clear" w:color="auto" w:fill="auto"/>
          </w:tcPr>
          <w:p w14:paraId="617800D8" w14:textId="64ED50FA" w:rsidR="007461CE" w:rsidRPr="00474153" w:rsidRDefault="007461CE">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F61791" w:rsidRPr="00474153">
              <w:rPr>
                <w:rFonts w:ascii="Times New Roman" w:hAnsi="Times New Roman"/>
                <w:color w:val="FF0000"/>
                <w:sz w:val="28"/>
                <w:u w:val="single"/>
                <w:lang w:bidi="en-US"/>
              </w:rPr>
              <w:t>47</w:t>
            </w:r>
            <w:r w:rsidRPr="00474153">
              <w:rPr>
                <w:rFonts w:ascii="Times New Roman" w:hAnsi="Times New Roman"/>
                <w:sz w:val="28"/>
                <w:lang w:bidi="en-US"/>
              </w:rPr>
              <w:t>: If some government agencies need to deposit cash more than a certain amount on a regular or routine basis, are they subject to the provisions of Paragraph 3, Article 1</w:t>
            </w:r>
            <w:r w:rsidRPr="00474153">
              <w:rPr>
                <w:rFonts w:ascii="Times New Roman" w:hAnsi="Times New Roman"/>
                <w:color w:val="FF0000"/>
                <w:sz w:val="28"/>
                <w:u w:val="single"/>
                <w:lang w:bidi="en-US"/>
              </w:rPr>
              <w:t>4</w:t>
            </w:r>
            <w:r w:rsidRPr="00474153">
              <w:rPr>
                <w:rFonts w:ascii="Times New Roman" w:hAnsi="Times New Roman"/>
                <w:sz w:val="28"/>
                <w:lang w:bidi="en-US"/>
              </w:rPr>
              <w:t xml:space="preserve"> </w:t>
            </w:r>
            <w:r w:rsidRPr="00474153">
              <w:rPr>
                <w:rFonts w:ascii="Times New Roman" w:hAnsi="Times New Roman"/>
                <w:color w:val="FF0000"/>
                <w:sz w:val="28"/>
                <w:u w:val="single"/>
                <w:lang w:bidi="en-US"/>
              </w:rPr>
              <w:t>of the Model Guidelines and can they be exempted from confirming and reporting every transaction with the approval of the Investigation Bureau.</w:t>
            </w:r>
          </w:p>
          <w:p w14:paraId="53C55082" w14:textId="7F4864ED" w:rsidR="007461CE" w:rsidRPr="00474153" w:rsidRDefault="007461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F61791" w:rsidRPr="00474153">
              <w:rPr>
                <w:rFonts w:ascii="Times New Roman" w:hAnsi="Times New Roman" w:cs="Times New Roman"/>
                <w:color w:val="FF0000"/>
                <w:sz w:val="28"/>
                <w:u w:val="single"/>
                <w:lang w:bidi="en-US"/>
              </w:rPr>
              <w:t>47</w:t>
            </w:r>
            <w:r w:rsidRPr="00474153">
              <w:rPr>
                <w:rFonts w:ascii="Times New Roman" w:hAnsi="Times New Roman" w:cs="Times New Roman"/>
                <w:sz w:val="28"/>
                <w:lang w:bidi="en-US"/>
              </w:rPr>
              <w:t>:</w:t>
            </w:r>
          </w:p>
          <w:p w14:paraId="53AE7699" w14:textId="77777777" w:rsidR="007461CE" w:rsidRPr="00474153" w:rsidRDefault="007461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Paragraph 2, Article 1</w:t>
            </w:r>
            <w:r w:rsidRPr="00474153">
              <w:rPr>
                <w:rFonts w:ascii="Times New Roman" w:hAnsi="Times New Roman" w:cs="Times New Roman"/>
                <w:color w:val="FF0000"/>
                <w:sz w:val="28"/>
                <w:u w:val="single"/>
                <w:lang w:bidi="en-US"/>
              </w:rPr>
              <w:t>4</w:t>
            </w:r>
            <w:r w:rsidRPr="00474153">
              <w:rPr>
                <w:rFonts w:ascii="Times New Roman" w:hAnsi="Times New Roman" w:cs="Times New Roman"/>
                <w:sz w:val="28"/>
                <w:lang w:bidi="en-US"/>
              </w:rPr>
              <w:t xml:space="preserve"> of the Model Guidelines, “it is not necessary to report to the Ministry of Justice Investigation Bureau of the following currency transactions that exceed a certain amount, but the customer’s identity should be confirmed with the relevant record kept as evidence: I. The amount deposited in the bank account of local government agencies, local state-owned enterprises, empowered institutions (within the scope of entrustment), public and private schools, public utilities, and funds lawfully established by the government. ” Therefore, government agencies are exempted from being reported to the Investigation Bureau if they use their accounts in the above manner.</w:t>
            </w:r>
          </w:p>
          <w:p w14:paraId="6708B095" w14:textId="57A6CC34" w:rsidR="007461CE" w:rsidRPr="00474153" w:rsidRDefault="007461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However, if it is necessary to deposit cash for a certain amount into the bank account of the government agencies regularly or routinely for specific reasons, which is confirmed by the bank, a list should be forwarded to the Ministry of Justice Investigation Bureau for verification in accordance with Paragraph 3, Article 1</w:t>
            </w:r>
            <w:r w:rsidRPr="00474153">
              <w:rPr>
                <w:rFonts w:ascii="Times New Roman" w:hAnsi="Times New Roman" w:cs="Times New Roman"/>
                <w:color w:val="FF0000"/>
                <w:sz w:val="28"/>
                <w:u w:val="single"/>
                <w:lang w:bidi="en-US"/>
              </w:rPr>
              <w:t>4</w:t>
            </w:r>
            <w:r w:rsidRPr="00474153">
              <w:rPr>
                <w:rFonts w:ascii="Times New Roman" w:hAnsi="Times New Roman" w:cs="Times New Roman"/>
                <w:sz w:val="28"/>
                <w:lang w:bidi="en-US"/>
              </w:rPr>
              <w:t xml:space="preserve"> of the Model Guidelines. If the Ministry of Justice Investigation Bureau has no objection raised within ten days, it is not necessary to have every deposit made into this account confirmed and reported. The bank should perform at least annual review of the counterparty. If the counterparty with which the bank no longer has the business relationship described in this paragraph, the bank </w:t>
            </w:r>
            <w:r w:rsidRPr="00474153">
              <w:rPr>
                <w:rFonts w:ascii="Times New Roman" w:hAnsi="Times New Roman" w:cs="Times New Roman"/>
                <w:sz w:val="28"/>
                <w:lang w:bidi="en-US"/>
              </w:rPr>
              <w:lastRenderedPageBreak/>
              <w:t>should report to the Investigation Bureau, Ministry of Justice.</w:t>
            </w:r>
          </w:p>
        </w:tc>
        <w:tc>
          <w:tcPr>
            <w:tcW w:w="8335" w:type="dxa"/>
            <w:shd w:val="clear" w:color="auto" w:fill="auto"/>
          </w:tcPr>
          <w:p w14:paraId="536B3EA3" w14:textId="77777777" w:rsidR="007461CE" w:rsidRPr="00474153" w:rsidRDefault="007461CE">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58</w:t>
            </w:r>
            <w:r w:rsidRPr="00474153">
              <w:rPr>
                <w:rFonts w:ascii="Times New Roman" w:hAnsi="Times New Roman"/>
                <w:sz w:val="28"/>
                <w:lang w:bidi="en-US"/>
              </w:rPr>
              <w:t xml:space="preserve">: If some government agencies need to deposit cash more than a certain amount on a regular or routine basis, are they subject to the provisions of Paragraph </w:t>
            </w:r>
            <w:r w:rsidRPr="00474153">
              <w:rPr>
                <w:rFonts w:ascii="Times New Roman" w:hAnsi="Times New Roman"/>
                <w:color w:val="FF0000"/>
                <w:sz w:val="28"/>
                <w:u w:val="single"/>
                <w:lang w:bidi="en-US"/>
              </w:rPr>
              <w:t>4</w:t>
            </w:r>
            <w:r w:rsidRPr="00474153">
              <w:rPr>
                <w:rFonts w:ascii="Times New Roman" w:hAnsi="Times New Roman"/>
                <w:sz w:val="28"/>
                <w:lang w:bidi="en-US"/>
              </w:rPr>
              <w:t>, Article 1</w:t>
            </w:r>
            <w:r w:rsidRPr="00474153">
              <w:rPr>
                <w:rFonts w:ascii="Times New Roman" w:hAnsi="Times New Roman"/>
                <w:color w:val="FF0000"/>
                <w:sz w:val="28"/>
                <w:u w:val="single"/>
                <w:lang w:bidi="en-US"/>
              </w:rPr>
              <w:t>3</w:t>
            </w:r>
            <w:r w:rsidRPr="00474153">
              <w:rPr>
                <w:rFonts w:ascii="Times New Roman" w:hAnsi="Times New Roman"/>
                <w:sz w:val="28"/>
                <w:lang w:bidi="en-US"/>
              </w:rPr>
              <w:t xml:space="preserve"> of the Model Guidelines, and can they be exempted from confirming and reporting every transaction with the approval of the Investigation Bureau?</w:t>
            </w:r>
          </w:p>
          <w:p w14:paraId="544ECC61" w14:textId="77777777" w:rsidR="007461CE" w:rsidRPr="00474153" w:rsidRDefault="007461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58</w:t>
            </w:r>
            <w:r w:rsidRPr="00474153">
              <w:rPr>
                <w:rFonts w:ascii="Times New Roman" w:hAnsi="Times New Roman" w:cs="Times New Roman"/>
                <w:sz w:val="28"/>
                <w:lang w:bidi="en-US"/>
              </w:rPr>
              <w:t>:</w:t>
            </w:r>
          </w:p>
          <w:p w14:paraId="6E0384EB" w14:textId="77777777" w:rsidR="007461CE" w:rsidRPr="00474153" w:rsidRDefault="007461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Paragraph 2, Article 1</w:t>
            </w:r>
            <w:r w:rsidRPr="00474153">
              <w:rPr>
                <w:rFonts w:ascii="Times New Roman" w:hAnsi="Times New Roman" w:cs="Times New Roman"/>
                <w:color w:val="FF0000"/>
                <w:sz w:val="28"/>
                <w:u w:val="single"/>
                <w:lang w:bidi="en-US"/>
              </w:rPr>
              <w:t>3</w:t>
            </w:r>
            <w:r w:rsidRPr="00474153">
              <w:rPr>
                <w:rFonts w:ascii="Times New Roman" w:hAnsi="Times New Roman" w:cs="Times New Roman"/>
                <w:sz w:val="28"/>
                <w:lang w:bidi="en-US"/>
              </w:rPr>
              <w:t xml:space="preserve"> of the Model Guidelines, “it is not necessary to report to the Ministry of Justice Investigation Bureau of the following currency transactions that exceed a certain amount, but the customer’s identity should be confirmed with the relevant record kept as evidence: I. The amount deposited in the bank account of local government agencies, local state-owned enterprises, empowered institutions (within the scope of entrustment), public and private schools, public utilities, and funds lawfully established by the government. ” Therefore, government agencies are exempted from being reported to the Investigation Bureau if they use their accounts in the above manner.</w:t>
            </w:r>
          </w:p>
          <w:p w14:paraId="180F29DA" w14:textId="2E3644BA" w:rsidR="007461CE" w:rsidRPr="00474153" w:rsidRDefault="007461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However, if it is necessary to deposit cash for a certain amount into the bank account of the government agencies regularly or routinely for specific reasons, which is confirmed by the bank, a list should be forwarded to the Ministry of Justice Investigation Bureau for verification in accordance with Paragraph 3, Article 1</w:t>
            </w:r>
            <w:r w:rsidRPr="00474153">
              <w:rPr>
                <w:rFonts w:ascii="Times New Roman" w:hAnsi="Times New Roman" w:cs="Times New Roman"/>
                <w:color w:val="FF0000"/>
                <w:sz w:val="28"/>
                <w:u w:val="single"/>
                <w:lang w:bidi="en-US"/>
              </w:rPr>
              <w:t>3</w:t>
            </w:r>
            <w:r w:rsidRPr="00474153">
              <w:rPr>
                <w:rFonts w:ascii="Times New Roman" w:hAnsi="Times New Roman" w:cs="Times New Roman"/>
                <w:sz w:val="28"/>
                <w:lang w:bidi="en-US"/>
              </w:rPr>
              <w:t xml:space="preserve"> of the Model Guidelines. If the Ministry of Justice Investigation Bureau has no objection raised within ten days, it is not necessary to have every deposit made into this account confirmed and reported. The bank should perform at least annual review of the counterparty. If the counterparty with which the bank no longer has the business relationship described in this paragraph, the bank </w:t>
            </w:r>
            <w:r w:rsidRPr="00474153">
              <w:rPr>
                <w:rFonts w:ascii="Times New Roman" w:hAnsi="Times New Roman" w:cs="Times New Roman"/>
                <w:sz w:val="28"/>
                <w:lang w:bidi="en-US"/>
              </w:rPr>
              <w:lastRenderedPageBreak/>
              <w:t>should report to the Investigation Bureau, Ministry of Justice.</w:t>
            </w:r>
          </w:p>
        </w:tc>
        <w:tc>
          <w:tcPr>
            <w:tcW w:w="4536" w:type="dxa"/>
            <w:shd w:val="clear" w:color="auto" w:fill="auto"/>
          </w:tcPr>
          <w:p w14:paraId="18C55B0D" w14:textId="77777777" w:rsidR="007461CE" w:rsidRPr="00474153" w:rsidRDefault="00F268BA" w:rsidP="00A56215">
            <w:pPr>
              <w:pStyle w:val="a4"/>
              <w:numPr>
                <w:ilvl w:val="0"/>
                <w:numId w:val="133"/>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lastRenderedPageBreak/>
              <w:t>Question number changed</w:t>
            </w:r>
          </w:p>
          <w:p w14:paraId="6642C6CE" w14:textId="77777777" w:rsidR="00F268BA" w:rsidRPr="00474153" w:rsidRDefault="00F268BA" w:rsidP="00A56215">
            <w:pPr>
              <w:pStyle w:val="a4"/>
              <w:numPr>
                <w:ilvl w:val="0"/>
                <w:numId w:val="133"/>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The original Article 13 of the Model Guidelines has been adjusted as Article 14; therefore, the cited provisions have been adjusted accordingly.</w:t>
            </w:r>
          </w:p>
        </w:tc>
      </w:tr>
      <w:tr w:rsidR="00977126" w:rsidRPr="00474153" w14:paraId="276F79F1" w14:textId="77777777" w:rsidTr="00E419A6">
        <w:tc>
          <w:tcPr>
            <w:tcW w:w="510" w:type="dxa"/>
            <w:shd w:val="clear" w:color="auto" w:fill="auto"/>
          </w:tcPr>
          <w:p w14:paraId="4AABAD39" w14:textId="77777777" w:rsidR="00977126"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59</w:t>
            </w:r>
          </w:p>
        </w:tc>
        <w:tc>
          <w:tcPr>
            <w:tcW w:w="8335" w:type="dxa"/>
            <w:shd w:val="clear" w:color="auto" w:fill="auto"/>
          </w:tcPr>
          <w:p w14:paraId="37213D3F" w14:textId="72F752BB" w:rsidR="00977126" w:rsidRPr="00474153" w:rsidRDefault="0097712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F61791" w:rsidRPr="00474153">
              <w:rPr>
                <w:rFonts w:ascii="Times New Roman" w:hAnsi="Times New Roman"/>
                <w:color w:val="FF0000"/>
                <w:sz w:val="28"/>
                <w:u w:val="single"/>
                <w:lang w:bidi="en-US"/>
              </w:rPr>
              <w:t>48</w:t>
            </w:r>
            <w:r w:rsidRPr="00474153">
              <w:rPr>
                <w:rFonts w:ascii="Times New Roman" w:hAnsi="Times New Roman"/>
                <w:sz w:val="28"/>
                <w:lang w:bidi="en-US"/>
              </w:rPr>
              <w:t>: Banks should conduct ML/FT risk assessment when launching new products or services. Does this requirement apply to overseas branches? If that is the case and the home country and the local country have different definitions for a “new product,” should the offshore branch adopt the more stringent definition?</w:t>
            </w:r>
          </w:p>
          <w:p w14:paraId="1137760D" w14:textId="2DC9CA69" w:rsidR="00977126" w:rsidRPr="00474153" w:rsidRDefault="0097712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F61791" w:rsidRPr="00474153">
              <w:rPr>
                <w:rFonts w:ascii="Times New Roman" w:hAnsi="Times New Roman" w:cs="Times New Roman"/>
                <w:color w:val="FF0000"/>
                <w:sz w:val="28"/>
                <w:u w:val="single"/>
                <w:lang w:bidi="en-US"/>
              </w:rPr>
              <w:t>48</w:t>
            </w:r>
            <w:r w:rsidRPr="00474153">
              <w:rPr>
                <w:rFonts w:ascii="Times New Roman" w:hAnsi="Times New Roman" w:cs="Times New Roman"/>
                <w:sz w:val="28"/>
                <w:lang w:bidi="en-US"/>
              </w:rPr>
              <w:t>:</w:t>
            </w:r>
          </w:p>
          <w:p w14:paraId="17B8943C" w14:textId="1A4BB864" w:rsidR="00977126" w:rsidRPr="00474153" w:rsidRDefault="0097712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Paragraph 5, Article 2 of the Model Guidelines, “Banks shall ensure that their foreign branches (or subsidiaries) adopt AML/CFT measures that are consistent with the head office (or parent company), subject to compliance with the local regulations. When the minimum requirement differs between the country of the head office (or parent company) and the country of the foreign branch (or subsidiary), the foreign branch (or subsidiary) shall adopt the standard that is more stringent between the two. ” This means that offshore branches are also required to assess ML/TF risks for their products. If the country in which the offshore branch is residing imposes a more stringent definition about a new product, the offshore branch shall adopt the more stringent definition for the assessment of the ML/TF product risk. If the country in which the offshore branch is residing imposes a less stringent definition about the new product, the offshore branch shall adopt the definition of the home country and assess ML/TF risks in a manner consistent with the head office.</w:t>
            </w:r>
          </w:p>
        </w:tc>
        <w:tc>
          <w:tcPr>
            <w:tcW w:w="8335" w:type="dxa"/>
            <w:shd w:val="clear" w:color="auto" w:fill="auto"/>
          </w:tcPr>
          <w:p w14:paraId="1F1B8E87" w14:textId="152DD4DC" w:rsidR="00977126" w:rsidRPr="00474153" w:rsidRDefault="00977126">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59</w:t>
            </w:r>
            <w:r w:rsidRPr="00474153">
              <w:rPr>
                <w:rFonts w:ascii="Times New Roman" w:hAnsi="Times New Roman"/>
                <w:sz w:val="28"/>
                <w:lang w:bidi="en-US"/>
              </w:rPr>
              <w:t>: Banks should conduct ML/FT risk assessment when launching new products or services. Does this requirement apply to overseas branches? If that is the case and the home country and the local country have different definitions for a “new product,” should the offshore branch adopt the more stringent definition?</w:t>
            </w:r>
          </w:p>
          <w:p w14:paraId="7F378484" w14:textId="77777777" w:rsidR="00977126" w:rsidRPr="00474153" w:rsidRDefault="0097712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59</w:t>
            </w:r>
            <w:r w:rsidRPr="00474153">
              <w:rPr>
                <w:rFonts w:ascii="Times New Roman" w:hAnsi="Times New Roman" w:cs="Times New Roman"/>
                <w:sz w:val="28"/>
                <w:lang w:bidi="en-US"/>
              </w:rPr>
              <w:t>:</w:t>
            </w:r>
          </w:p>
          <w:p w14:paraId="0FE3B3FE" w14:textId="65ED9E35" w:rsidR="00977126" w:rsidRPr="00474153" w:rsidRDefault="00977126">
            <w:pPr>
              <w:jc w:val="both"/>
              <w:rPr>
                <w:rFonts w:ascii="Times New Roman" w:eastAsia="標楷體" w:hAnsi="Times New Roman" w:cs="Times New Roman"/>
                <w:sz w:val="28"/>
                <w:szCs w:val="28"/>
              </w:rPr>
            </w:pPr>
            <w:r w:rsidRPr="00474153">
              <w:rPr>
                <w:rFonts w:ascii="Times New Roman" w:hAnsi="Times New Roman" w:cs="Times New Roman"/>
                <w:sz w:val="28"/>
                <w:lang w:bidi="en-US"/>
              </w:rPr>
              <w:t>According to Paragraph 5, Article 2 of the Model Guidelines, “Banks shall ensure that their foreign branches (or subsidiaries) adopt AML/CFT measures that are consistent with the head office (or parent company), subject to compliance with the local regulations. When the minimum requirement differs between the country of the head office (or parent company) and the country of the foreign branch (or subsidiary), the foreign branch (or subsidiary) shall adopt the standard that is more stringent between the two. ” This means that offshore branches are also required to assess ML/TF risks for their products. If the country in which the offshore branch is residing imposes a more stringent definition about a new product, the offshore branch shall adopt the more stringent definition for the assessment of the ML/TF product risk. If the country in which the offshore branch is residing imposes a less stringent definition about the new product, the offshore branch shall adopt the definition of the home country and assess ML/TF risks in a manner consistent with the head office.</w:t>
            </w:r>
          </w:p>
        </w:tc>
        <w:tc>
          <w:tcPr>
            <w:tcW w:w="4536" w:type="dxa"/>
            <w:shd w:val="clear" w:color="auto" w:fill="auto"/>
          </w:tcPr>
          <w:p w14:paraId="2D7CCA73" w14:textId="77777777" w:rsidR="00977126" w:rsidRPr="00474153" w:rsidRDefault="00977126">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t>Question number changed</w:t>
            </w:r>
          </w:p>
        </w:tc>
      </w:tr>
      <w:tr w:rsidR="004E43CE" w:rsidRPr="00474153" w14:paraId="35214B05" w14:textId="77777777" w:rsidTr="00E419A6">
        <w:tc>
          <w:tcPr>
            <w:tcW w:w="510" w:type="dxa"/>
            <w:shd w:val="clear" w:color="auto" w:fill="auto"/>
          </w:tcPr>
          <w:p w14:paraId="7AA5D60F" w14:textId="77777777" w:rsidR="004E43CE"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60</w:t>
            </w:r>
          </w:p>
        </w:tc>
        <w:tc>
          <w:tcPr>
            <w:tcW w:w="8335" w:type="dxa"/>
            <w:shd w:val="clear" w:color="auto" w:fill="auto"/>
          </w:tcPr>
          <w:p w14:paraId="4711F08A" w14:textId="67DB34D6" w:rsidR="004E43CE" w:rsidRPr="00474153" w:rsidRDefault="00712773">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49</w:t>
            </w:r>
            <w:r w:rsidRPr="00474153">
              <w:rPr>
                <w:rFonts w:ascii="Times New Roman" w:hAnsi="Times New Roman"/>
                <w:sz w:val="28"/>
                <w:lang w:bidi="en-US"/>
              </w:rPr>
              <w:t xml:space="preserve">: </w:t>
            </w:r>
            <w:r w:rsidR="004E43CE" w:rsidRPr="00474153">
              <w:rPr>
                <w:rFonts w:ascii="Times New Roman" w:hAnsi="Times New Roman"/>
                <w:sz w:val="28"/>
                <w:lang w:bidi="en-US"/>
              </w:rPr>
              <w:t>According to Subparagraph 1, Article 1</w:t>
            </w:r>
            <w:r w:rsidR="004E43CE" w:rsidRPr="00474153">
              <w:rPr>
                <w:rFonts w:ascii="Times New Roman" w:hAnsi="Times New Roman"/>
                <w:color w:val="FF0000"/>
                <w:sz w:val="28"/>
                <w:u w:val="single"/>
                <w:lang w:bidi="en-US"/>
              </w:rPr>
              <w:t>5</w:t>
            </w:r>
            <w:r w:rsidRPr="00474153">
              <w:rPr>
                <w:rFonts w:ascii="Times New Roman" w:hAnsi="Times New Roman"/>
                <w:sz w:val="28"/>
                <w:lang w:bidi="en-US"/>
              </w:rPr>
              <w:t xml:space="preserve"> </w:t>
            </w:r>
            <w:r w:rsidR="004E43CE" w:rsidRPr="00474153">
              <w:rPr>
                <w:rFonts w:ascii="Times New Roman" w:hAnsi="Times New Roman"/>
                <w:sz w:val="28"/>
                <w:lang w:bidi="en-US"/>
              </w:rPr>
              <w:t>of the Model Guidelines, “all necessary records of domestic and foreign transactions</w:t>
            </w:r>
            <w:r w:rsidRPr="00474153">
              <w:rPr>
                <w:rFonts w:ascii="Times New Roman" w:hAnsi="Times New Roman"/>
                <w:sz w:val="28"/>
                <w:lang w:bidi="en-US"/>
              </w:rPr>
              <w:t xml:space="preserve"> </w:t>
            </w:r>
            <w:r w:rsidR="00686541" w:rsidRPr="00474153">
              <w:rPr>
                <w:rFonts w:ascii="Times New Roman" w:hAnsi="Times New Roman"/>
                <w:color w:val="FF0000"/>
                <w:sz w:val="28"/>
                <w:u w:val="single"/>
                <w:lang w:bidi="en-US"/>
              </w:rPr>
              <w:t>shall be kept for</w:t>
            </w:r>
            <w:r w:rsidRPr="00474153">
              <w:rPr>
                <w:rFonts w:ascii="Times New Roman" w:hAnsi="Times New Roman"/>
                <w:sz w:val="28"/>
                <w:lang w:bidi="en-US"/>
              </w:rPr>
              <w:t xml:space="preserve"> </w:t>
            </w:r>
            <w:r w:rsidR="004E43CE" w:rsidRPr="00474153">
              <w:rPr>
                <w:rFonts w:ascii="Times New Roman" w:hAnsi="Times New Roman"/>
                <w:sz w:val="28"/>
                <w:lang w:bidi="en-US"/>
              </w:rPr>
              <w:t>at least five years.” However in case where laws otherwise provide a longer period for record-keeping, the bank should comply with such laws. For trading room phone recordings, should banks retain such records for the duration specified in the “Foreign Exchange Market Trading Guidelines” or follow the rules outlined in this Article?</w:t>
            </w:r>
          </w:p>
          <w:p w14:paraId="1645B7FA" w14:textId="53059598" w:rsidR="004E43CE" w:rsidRPr="00474153" w:rsidRDefault="00712773">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264137" w:rsidRPr="00474153">
              <w:rPr>
                <w:rFonts w:ascii="Times New Roman" w:hAnsi="Times New Roman" w:cs="Times New Roman"/>
                <w:color w:val="FF0000"/>
                <w:sz w:val="28"/>
                <w:u w:val="single"/>
                <w:lang w:bidi="en-US"/>
              </w:rPr>
              <w:t>49</w:t>
            </w:r>
            <w:r w:rsidRPr="00474153">
              <w:rPr>
                <w:rFonts w:ascii="Times New Roman" w:hAnsi="Times New Roman" w:cs="Times New Roman"/>
                <w:sz w:val="28"/>
                <w:lang w:bidi="en-US"/>
              </w:rPr>
              <w:t>:</w:t>
            </w:r>
          </w:p>
          <w:p w14:paraId="0BAF9D22" w14:textId="77777777" w:rsidR="004E43CE" w:rsidRPr="00474153" w:rsidRDefault="004E43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As explained in the FATF Recommendation 11, the purpose of retaining </w:t>
            </w:r>
            <w:r w:rsidRPr="00474153">
              <w:rPr>
                <w:rFonts w:ascii="Times New Roman" w:hAnsi="Times New Roman" w:cs="Times New Roman"/>
                <w:sz w:val="28"/>
                <w:lang w:bidi="en-US"/>
              </w:rPr>
              <w:lastRenderedPageBreak/>
              <w:t>mandatory records on domestic and foreign transactions is to facilitate quick reconstruction of individual transactions at the authority’s request and use them as evidence for the prosecution of a crime.</w:t>
            </w:r>
          </w:p>
          <w:p w14:paraId="6B2BD460" w14:textId="56D57F40" w:rsidR="004E43CE" w:rsidRPr="00474153" w:rsidRDefault="004E43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Therefore, if the trading room phone recordings is for a transaction conducted by the customer and the bank consensually, it is deemed as a “necessary record” as defined in Subparagraph 1, Article 1</w:t>
            </w:r>
            <w:r w:rsidRPr="00474153">
              <w:rPr>
                <w:rFonts w:ascii="Times New Roman" w:hAnsi="Times New Roman" w:cs="Times New Roman"/>
                <w:color w:val="FF0000"/>
                <w:sz w:val="28"/>
                <w:u w:val="single"/>
                <w:lang w:bidi="en-US"/>
              </w:rPr>
              <w:t>5</w:t>
            </w:r>
            <w:r w:rsidRPr="00474153">
              <w:rPr>
                <w:rFonts w:ascii="Times New Roman" w:hAnsi="Times New Roman" w:cs="Times New Roman"/>
                <w:sz w:val="28"/>
                <w:lang w:bidi="en-US"/>
              </w:rPr>
              <w:t xml:space="preserve">, and should be kept for at least five years, in line with the provision of “Foreign Exchange Market Trading Guidelines,” which stipulates that “the recording content should be kept for at least three months, and may be extended due to conservatism for trading of long-term interest rate swaps, forward rate agreements or instruments of similar nature.” </w:t>
            </w:r>
          </w:p>
        </w:tc>
        <w:tc>
          <w:tcPr>
            <w:tcW w:w="8335" w:type="dxa"/>
            <w:shd w:val="clear" w:color="auto" w:fill="auto"/>
          </w:tcPr>
          <w:p w14:paraId="0B7F5B78" w14:textId="5F86F0EC" w:rsidR="004E43CE" w:rsidRPr="00474153" w:rsidRDefault="004E43CE">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60</w:t>
            </w:r>
            <w:r w:rsidRPr="00474153">
              <w:rPr>
                <w:rFonts w:ascii="Times New Roman" w:hAnsi="Times New Roman"/>
                <w:sz w:val="28"/>
                <w:lang w:bidi="en-US"/>
              </w:rPr>
              <w:t>: According to Subparagraph 1, Article 1</w:t>
            </w:r>
            <w:r w:rsidRPr="00474153">
              <w:rPr>
                <w:rFonts w:ascii="Times New Roman" w:hAnsi="Times New Roman"/>
                <w:color w:val="FF0000"/>
                <w:sz w:val="28"/>
                <w:u w:val="single"/>
                <w:lang w:bidi="en-US"/>
              </w:rPr>
              <w:t>4</w:t>
            </w:r>
            <w:r w:rsidRPr="00474153">
              <w:rPr>
                <w:rFonts w:ascii="Times New Roman" w:hAnsi="Times New Roman"/>
                <w:sz w:val="28"/>
                <w:lang w:bidi="en-US"/>
              </w:rPr>
              <w:t xml:space="preserve"> of the Model Guidelines, “all necessary records of domestic and foreign transactions shall be kept </w:t>
            </w:r>
            <w:r w:rsidRPr="00474153">
              <w:rPr>
                <w:rFonts w:ascii="Times New Roman" w:hAnsi="Times New Roman"/>
                <w:color w:val="FF0000"/>
                <w:sz w:val="28"/>
                <w:u w:val="single"/>
                <w:lang w:bidi="en-US"/>
              </w:rPr>
              <w:t>for</w:t>
            </w:r>
            <w:r w:rsidRPr="00474153">
              <w:rPr>
                <w:rFonts w:ascii="Times New Roman" w:hAnsi="Times New Roman"/>
                <w:sz w:val="28"/>
                <w:lang w:bidi="en-US"/>
              </w:rPr>
              <w:t xml:space="preserve"> at least five years.” However in case where laws otherwise provide a longer period for record-keeping, the bank should comply with such laws. For trading room phone recordings, should banks retain such records for the duration specified in the “Foreign Exchange Market Trading Guidelines” or follow the rules outlined in this Article?</w:t>
            </w:r>
          </w:p>
          <w:p w14:paraId="2FE4AFFC" w14:textId="77777777" w:rsidR="004E43CE" w:rsidRPr="00474153" w:rsidRDefault="004E43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60</w:t>
            </w:r>
            <w:r w:rsidRPr="00474153">
              <w:rPr>
                <w:rFonts w:ascii="Times New Roman" w:hAnsi="Times New Roman" w:cs="Times New Roman"/>
                <w:sz w:val="28"/>
                <w:lang w:bidi="en-US"/>
              </w:rPr>
              <w:t>:</w:t>
            </w:r>
          </w:p>
          <w:p w14:paraId="73402285" w14:textId="77777777" w:rsidR="004E43CE" w:rsidRPr="00474153" w:rsidRDefault="004E43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As explained in the FATF Recommendation 11, the purpose of retaining </w:t>
            </w:r>
            <w:r w:rsidRPr="00474153">
              <w:rPr>
                <w:rFonts w:ascii="Times New Roman" w:hAnsi="Times New Roman" w:cs="Times New Roman"/>
                <w:sz w:val="28"/>
                <w:lang w:bidi="en-US"/>
              </w:rPr>
              <w:lastRenderedPageBreak/>
              <w:t>mandatory records on domestic and foreign transactions is to facilitate quick reconstruction of individual transactions at the authority’s request and use them as evidence for the prosecution of a crime.</w:t>
            </w:r>
          </w:p>
          <w:p w14:paraId="7E794F8F" w14:textId="577F9B35" w:rsidR="004E43CE" w:rsidRPr="00474153" w:rsidRDefault="004E43CE">
            <w:pPr>
              <w:jc w:val="both"/>
              <w:rPr>
                <w:rFonts w:ascii="Times New Roman" w:eastAsia="標楷體" w:hAnsi="Times New Roman" w:cs="Times New Roman"/>
                <w:sz w:val="28"/>
                <w:szCs w:val="28"/>
              </w:rPr>
            </w:pPr>
            <w:r w:rsidRPr="00474153">
              <w:rPr>
                <w:rFonts w:ascii="Times New Roman" w:hAnsi="Times New Roman" w:cs="Times New Roman"/>
                <w:sz w:val="28"/>
                <w:lang w:bidi="en-US"/>
              </w:rPr>
              <w:t>Therefore, if the trading room phone recordings is for a transaction conducted by the customer and the bank consensually, it is deemed as a “necessary record” as defined in Subparagraph 1, Article 1</w:t>
            </w:r>
            <w:r w:rsidRPr="00474153">
              <w:rPr>
                <w:rFonts w:ascii="Times New Roman" w:hAnsi="Times New Roman" w:cs="Times New Roman"/>
                <w:color w:val="FF0000"/>
                <w:sz w:val="28"/>
                <w:u w:val="single"/>
                <w:lang w:bidi="en-US"/>
              </w:rPr>
              <w:t>4</w:t>
            </w:r>
            <w:r w:rsidRPr="00474153">
              <w:rPr>
                <w:rFonts w:ascii="Times New Roman" w:hAnsi="Times New Roman" w:cs="Times New Roman"/>
                <w:sz w:val="28"/>
                <w:lang w:bidi="en-US"/>
              </w:rPr>
              <w:t xml:space="preserve">, and should be kept for at least five years, in line with the provision of “Foreign Exchange Market Trading Guidelines,” which stipulates that “the recording content should be kept for at least three months, and may be extended due to conservatism for trading of long-term interest rate swaps, forward rate agreements or instruments of similar nature.” </w:t>
            </w:r>
          </w:p>
        </w:tc>
        <w:tc>
          <w:tcPr>
            <w:tcW w:w="4536" w:type="dxa"/>
            <w:shd w:val="clear" w:color="auto" w:fill="auto"/>
          </w:tcPr>
          <w:p w14:paraId="0EEE1BE9" w14:textId="77777777" w:rsidR="004E43CE" w:rsidRPr="00474153" w:rsidRDefault="002D3C2D" w:rsidP="00A56215">
            <w:pPr>
              <w:pStyle w:val="a4"/>
              <w:numPr>
                <w:ilvl w:val="0"/>
                <w:numId w:val="134"/>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lastRenderedPageBreak/>
              <w:t>Question number changed</w:t>
            </w:r>
          </w:p>
          <w:p w14:paraId="5FB16FF7" w14:textId="77777777" w:rsidR="002D3C2D" w:rsidRPr="00474153" w:rsidRDefault="002D3C2D" w:rsidP="00A56215">
            <w:pPr>
              <w:pStyle w:val="a4"/>
              <w:numPr>
                <w:ilvl w:val="0"/>
                <w:numId w:val="134"/>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The original Article 14 of the Model Guidelines has been adjusted as Article 15; therefore, the cited provisions have been adjusted and the text has been amended accordingly.</w:t>
            </w:r>
          </w:p>
        </w:tc>
      </w:tr>
      <w:tr w:rsidR="00E421FE" w:rsidRPr="00474153" w14:paraId="1F8AD4A2" w14:textId="77777777" w:rsidTr="00E419A6">
        <w:tc>
          <w:tcPr>
            <w:tcW w:w="510" w:type="dxa"/>
            <w:shd w:val="clear" w:color="auto" w:fill="auto"/>
          </w:tcPr>
          <w:p w14:paraId="5947D50F" w14:textId="77777777" w:rsidR="00E421FE"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61</w:t>
            </w:r>
          </w:p>
        </w:tc>
        <w:tc>
          <w:tcPr>
            <w:tcW w:w="8335" w:type="dxa"/>
            <w:shd w:val="clear" w:color="auto" w:fill="auto"/>
          </w:tcPr>
          <w:p w14:paraId="33C57CE9" w14:textId="1848C356" w:rsidR="00E421FE" w:rsidRPr="00474153" w:rsidRDefault="00BB41FF">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50</w:t>
            </w:r>
            <w:r w:rsidRPr="00474153">
              <w:rPr>
                <w:rFonts w:ascii="Times New Roman" w:hAnsi="Times New Roman"/>
                <w:sz w:val="28"/>
                <w:lang w:bidi="en-US"/>
              </w:rPr>
              <w:t xml:space="preserve">: </w:t>
            </w:r>
            <w:r w:rsidR="00E421FE" w:rsidRPr="00474153">
              <w:rPr>
                <w:rFonts w:ascii="Times New Roman" w:hAnsi="Times New Roman"/>
                <w:sz w:val="28"/>
                <w:lang w:bidi="en-US"/>
              </w:rPr>
              <w:t>According to Subparagraphs 1 and 2, Article 15 of the “Regulations Governing Anti-Money Laundering of Financial Institutions,”</w:t>
            </w:r>
            <w:r w:rsidRPr="00474153">
              <w:rPr>
                <w:rFonts w:ascii="Times New Roman" w:hAnsi="Times New Roman"/>
                <w:sz w:val="28"/>
                <w:lang w:bidi="en-US"/>
              </w:rPr>
              <w:t xml:space="preserve"> </w:t>
            </w:r>
            <w:r w:rsidR="00E421FE" w:rsidRPr="00474153">
              <w:rPr>
                <w:rFonts w:ascii="Times New Roman" w:hAnsi="Times New Roman"/>
                <w:sz w:val="28"/>
                <w:lang w:bidi="en-US"/>
              </w:rPr>
              <w:t>“Financial institutions</w:t>
            </w:r>
            <w:r w:rsidRPr="00474153">
              <w:rPr>
                <w:rFonts w:ascii="Times New Roman" w:hAnsi="Times New Roman"/>
                <w:sz w:val="28"/>
                <w:lang w:bidi="en-US"/>
              </w:rPr>
              <w:t xml:space="preserve"> </w:t>
            </w:r>
            <w:r w:rsidR="00E421FE" w:rsidRPr="00474153">
              <w:rPr>
                <w:rFonts w:ascii="Times New Roman" w:hAnsi="Times New Roman"/>
                <w:sz w:val="28"/>
                <w:lang w:bidi="en-US"/>
              </w:rPr>
              <w:t>shall report a suspected ML/TF transaction that meets the monitoring pattern or other circumstances stated in Subparagraph 5, Article 9 to the Investigation Bureau, regardless of the transaction amount. The same shall apply to attempted transactions. ” For a remittance, when is the transaction considered “incomplete?”</w:t>
            </w:r>
          </w:p>
          <w:p w14:paraId="3A55D607" w14:textId="3A7A68EC" w:rsidR="00E421FE" w:rsidRPr="00474153" w:rsidRDefault="00BB41FF" w:rsidP="00A56215">
            <w:pPr>
              <w:pStyle w:val="a5"/>
              <w:spacing w:line="400" w:lineRule="exact"/>
              <w:jc w:val="both"/>
              <w:rPr>
                <w:rFonts w:ascii="Times New Roman" w:eastAsia="標楷體" w:hAnsi="Times New Roman"/>
                <w:bCs/>
                <w:caps/>
                <w:sz w:val="28"/>
                <w:szCs w:val="28"/>
              </w:rPr>
            </w:pPr>
            <w:r w:rsidRPr="00474153">
              <w:rPr>
                <w:rFonts w:ascii="Times New Roman" w:hAnsi="Times New Roman"/>
                <w:sz w:val="28"/>
                <w:lang w:bidi="en-US"/>
              </w:rPr>
              <w:t>A</w:t>
            </w:r>
            <w:r w:rsidR="00264137" w:rsidRPr="00474153">
              <w:rPr>
                <w:rFonts w:ascii="Times New Roman" w:hAnsi="Times New Roman"/>
                <w:color w:val="FF0000"/>
                <w:sz w:val="28"/>
                <w:u w:val="single"/>
                <w:lang w:bidi="en-US"/>
              </w:rPr>
              <w:t>50</w:t>
            </w:r>
            <w:r w:rsidRPr="00474153">
              <w:rPr>
                <w:rFonts w:ascii="Times New Roman" w:hAnsi="Times New Roman"/>
                <w:sz w:val="28"/>
                <w:lang w:bidi="en-US"/>
              </w:rPr>
              <w:t>:</w:t>
            </w:r>
          </w:p>
          <w:p w14:paraId="0A00AD27" w14:textId="77777777" w:rsidR="00E421FE" w:rsidRPr="00474153" w:rsidRDefault="00E421FE" w:rsidP="00A56215">
            <w:pPr>
              <w:pStyle w:val="a5"/>
              <w:spacing w:line="400" w:lineRule="exact"/>
              <w:jc w:val="both"/>
              <w:rPr>
                <w:rFonts w:ascii="Times New Roman" w:eastAsia="標楷體" w:hAnsi="Times New Roman"/>
                <w:bCs/>
                <w:caps/>
                <w:sz w:val="28"/>
                <w:szCs w:val="28"/>
              </w:rPr>
            </w:pPr>
            <w:r w:rsidRPr="00474153">
              <w:rPr>
                <w:rFonts w:ascii="Times New Roman" w:hAnsi="Times New Roman"/>
                <w:sz w:val="28"/>
                <w:lang w:bidi="en-US"/>
              </w:rPr>
              <w:t>Apply the following principles:</w:t>
            </w:r>
          </w:p>
          <w:p w14:paraId="56FF6624" w14:textId="77777777" w:rsidR="00E421FE" w:rsidRPr="00474153" w:rsidRDefault="00E421FE" w:rsidP="00A56215">
            <w:pPr>
              <w:pStyle w:val="a5"/>
              <w:numPr>
                <w:ilvl w:val="0"/>
                <w:numId w:val="9"/>
              </w:numPr>
              <w:spacing w:line="400" w:lineRule="exact"/>
              <w:ind w:left="720" w:hanging="720"/>
              <w:jc w:val="both"/>
              <w:rPr>
                <w:rFonts w:ascii="Times New Roman" w:eastAsia="標楷體" w:hAnsi="Times New Roman"/>
                <w:sz w:val="28"/>
                <w:szCs w:val="28"/>
              </w:rPr>
            </w:pPr>
            <w:r w:rsidRPr="00474153">
              <w:rPr>
                <w:rFonts w:ascii="Times New Roman" w:hAnsi="Times New Roman"/>
                <w:sz w:val="28"/>
                <w:lang w:bidi="en-US"/>
              </w:rPr>
              <w:t>An outward remittance rejected by the payee bank is considered “complete.”</w:t>
            </w:r>
          </w:p>
          <w:p w14:paraId="1EFE5D07" w14:textId="77777777" w:rsidR="00E421FE" w:rsidRPr="00474153" w:rsidRDefault="00E421FE" w:rsidP="00A56215">
            <w:pPr>
              <w:pStyle w:val="a5"/>
              <w:numPr>
                <w:ilvl w:val="0"/>
                <w:numId w:val="9"/>
              </w:numPr>
              <w:spacing w:line="400" w:lineRule="exact"/>
              <w:ind w:left="720" w:hanging="720"/>
              <w:jc w:val="both"/>
              <w:rPr>
                <w:rFonts w:ascii="Times New Roman" w:eastAsia="標楷體" w:hAnsi="Times New Roman"/>
                <w:sz w:val="28"/>
                <w:szCs w:val="28"/>
              </w:rPr>
            </w:pPr>
            <w:r w:rsidRPr="00474153">
              <w:rPr>
                <w:rFonts w:ascii="Times New Roman" w:hAnsi="Times New Roman"/>
                <w:sz w:val="28"/>
                <w:lang w:bidi="en-US"/>
              </w:rPr>
              <w:t>An inward remittance rejected by the bank before being credited into the internal accounts is considered “incomplete.”</w:t>
            </w:r>
          </w:p>
          <w:p w14:paraId="1F43A93D" w14:textId="77777777" w:rsidR="00E421FE" w:rsidRPr="00474153" w:rsidRDefault="00E421FE" w:rsidP="00A56215">
            <w:pPr>
              <w:pStyle w:val="a5"/>
              <w:numPr>
                <w:ilvl w:val="0"/>
                <w:numId w:val="9"/>
              </w:numPr>
              <w:spacing w:line="400" w:lineRule="exact"/>
              <w:ind w:left="720" w:hanging="720"/>
              <w:jc w:val="both"/>
              <w:rPr>
                <w:rFonts w:ascii="Times New Roman" w:eastAsia="標楷體" w:hAnsi="Times New Roman"/>
                <w:sz w:val="28"/>
                <w:szCs w:val="28"/>
              </w:rPr>
            </w:pPr>
            <w:r w:rsidRPr="00474153">
              <w:rPr>
                <w:rFonts w:ascii="Times New Roman" w:hAnsi="Times New Roman"/>
                <w:sz w:val="28"/>
                <w:lang w:bidi="en-US"/>
              </w:rPr>
              <w:t>An inward remittance rejected by the bank after being credited into the internal accounts is considered “complete.”</w:t>
            </w:r>
          </w:p>
          <w:p w14:paraId="01C05EE2" w14:textId="77777777" w:rsidR="00E421FE" w:rsidRPr="00474153" w:rsidRDefault="00E421FE" w:rsidP="00A56215">
            <w:pPr>
              <w:pStyle w:val="a5"/>
              <w:numPr>
                <w:ilvl w:val="0"/>
                <w:numId w:val="9"/>
              </w:numPr>
              <w:spacing w:line="400" w:lineRule="exact"/>
              <w:ind w:left="720" w:hanging="720"/>
              <w:jc w:val="both"/>
              <w:rPr>
                <w:rFonts w:ascii="Times New Roman" w:eastAsia="標楷體" w:hAnsi="Times New Roman"/>
                <w:sz w:val="28"/>
                <w:szCs w:val="28"/>
              </w:rPr>
            </w:pPr>
            <w:r w:rsidRPr="00474153">
              <w:rPr>
                <w:rFonts w:ascii="Times New Roman" w:hAnsi="Times New Roman"/>
                <w:sz w:val="28"/>
                <w:lang w:bidi="en-US"/>
              </w:rPr>
              <w:t>When a bank reports a suspicious ML/TF transaction to the Investigation Bureau after learning that its customer is placed on the sanction list or reported by media for major criminal involvement, all suspicious transactions previously completed shall be considered “complete.”</w:t>
            </w:r>
          </w:p>
        </w:tc>
        <w:tc>
          <w:tcPr>
            <w:tcW w:w="8335" w:type="dxa"/>
            <w:shd w:val="clear" w:color="auto" w:fill="auto"/>
          </w:tcPr>
          <w:p w14:paraId="4C04AFC9" w14:textId="77777777" w:rsidR="00E421FE" w:rsidRPr="00474153" w:rsidRDefault="00E421FE">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Pr="00474153">
              <w:rPr>
                <w:rFonts w:ascii="Times New Roman" w:hAnsi="Times New Roman"/>
                <w:color w:val="FF0000"/>
                <w:sz w:val="28"/>
                <w:u w:val="single"/>
                <w:lang w:bidi="en-US"/>
              </w:rPr>
              <w:t>61</w:t>
            </w:r>
            <w:r w:rsidRPr="00474153">
              <w:rPr>
                <w:rFonts w:ascii="Times New Roman" w:hAnsi="Times New Roman"/>
                <w:sz w:val="28"/>
                <w:lang w:bidi="en-US"/>
              </w:rPr>
              <w:t xml:space="preserve">: According to Subparagraphs 1, </w:t>
            </w:r>
            <w:r w:rsidRPr="00474153">
              <w:rPr>
                <w:rFonts w:ascii="Times New Roman" w:hAnsi="Times New Roman"/>
                <w:color w:val="FF0000"/>
                <w:sz w:val="28"/>
                <w:u w:val="single"/>
                <w:lang w:bidi="en-US"/>
              </w:rPr>
              <w:t>Paragraph 1</w:t>
            </w:r>
            <w:r w:rsidRPr="00474153">
              <w:rPr>
                <w:rFonts w:ascii="Times New Roman" w:hAnsi="Times New Roman"/>
                <w:sz w:val="28"/>
                <w:lang w:bidi="en-US"/>
              </w:rPr>
              <w:t xml:space="preserve">, Article 15 of the “Regulations Governing Anti-Money Laundering of Financial Institutions,” “Financial institutions shall report a suspected ML/TF transaction that meets the monitoring pattern or other circumstances stated </w:t>
            </w:r>
            <w:r w:rsidRPr="00474153">
              <w:rPr>
                <w:rFonts w:ascii="Times New Roman" w:hAnsi="Times New Roman"/>
                <w:color w:val="FF0000"/>
                <w:sz w:val="28"/>
                <w:u w:val="single"/>
                <w:lang w:bidi="en-US"/>
              </w:rPr>
              <w:t>in</w:t>
            </w:r>
            <w:r w:rsidRPr="00474153">
              <w:rPr>
                <w:rFonts w:ascii="Times New Roman" w:hAnsi="Times New Roman"/>
                <w:sz w:val="28"/>
                <w:lang w:bidi="en-US"/>
              </w:rPr>
              <w:t xml:space="preserve"> Subparagraph 5, Article 9 to the Investigation Bureau, regardless of the transaction amount. The same shall apply to attempted transactions. ” For a remittance, when is the transaction considered “incomplete?”</w:t>
            </w:r>
          </w:p>
          <w:p w14:paraId="6AD887E3" w14:textId="77777777" w:rsidR="00E421FE" w:rsidRPr="00474153" w:rsidRDefault="00E421FE" w:rsidP="00A56215">
            <w:pPr>
              <w:pStyle w:val="a5"/>
              <w:spacing w:line="400" w:lineRule="exact"/>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61</w:t>
            </w:r>
            <w:r w:rsidRPr="00474153">
              <w:rPr>
                <w:rFonts w:ascii="Times New Roman" w:hAnsi="Times New Roman"/>
                <w:sz w:val="28"/>
                <w:lang w:bidi="en-US"/>
              </w:rPr>
              <w:t>:</w:t>
            </w:r>
          </w:p>
          <w:p w14:paraId="0FE20674" w14:textId="77777777" w:rsidR="00E421FE" w:rsidRPr="00474153" w:rsidRDefault="00E421FE" w:rsidP="00A56215">
            <w:pPr>
              <w:pStyle w:val="a5"/>
              <w:spacing w:line="400" w:lineRule="exact"/>
              <w:jc w:val="both"/>
              <w:rPr>
                <w:rFonts w:ascii="Times New Roman" w:eastAsia="標楷體" w:hAnsi="Times New Roman"/>
                <w:bCs/>
                <w:caps/>
                <w:sz w:val="28"/>
                <w:szCs w:val="28"/>
              </w:rPr>
            </w:pPr>
            <w:r w:rsidRPr="00474153">
              <w:rPr>
                <w:rFonts w:ascii="Times New Roman" w:hAnsi="Times New Roman"/>
                <w:sz w:val="28"/>
                <w:lang w:bidi="en-US"/>
              </w:rPr>
              <w:t>Apply the following principles:</w:t>
            </w:r>
          </w:p>
          <w:p w14:paraId="6D1E54B3" w14:textId="77777777" w:rsidR="00E421FE" w:rsidRPr="00474153" w:rsidRDefault="00E421FE" w:rsidP="00A56215">
            <w:pPr>
              <w:pStyle w:val="a5"/>
              <w:numPr>
                <w:ilvl w:val="0"/>
                <w:numId w:val="69"/>
              </w:numPr>
              <w:spacing w:line="400" w:lineRule="exact"/>
              <w:ind w:left="653" w:hanging="653"/>
              <w:jc w:val="both"/>
              <w:rPr>
                <w:rFonts w:ascii="Times New Roman" w:eastAsia="標楷體" w:hAnsi="Times New Roman"/>
                <w:sz w:val="28"/>
                <w:szCs w:val="28"/>
              </w:rPr>
            </w:pPr>
            <w:r w:rsidRPr="00474153">
              <w:rPr>
                <w:rFonts w:ascii="Times New Roman" w:hAnsi="Times New Roman"/>
                <w:sz w:val="28"/>
                <w:lang w:bidi="en-US"/>
              </w:rPr>
              <w:t>An outward remittance rejected by the payee bank is considered “complete.”</w:t>
            </w:r>
          </w:p>
          <w:p w14:paraId="3FA43896" w14:textId="77777777" w:rsidR="00E421FE" w:rsidRPr="00474153" w:rsidRDefault="00E421FE" w:rsidP="00A56215">
            <w:pPr>
              <w:pStyle w:val="a5"/>
              <w:numPr>
                <w:ilvl w:val="0"/>
                <w:numId w:val="69"/>
              </w:numPr>
              <w:spacing w:line="400" w:lineRule="exact"/>
              <w:ind w:left="653" w:hanging="653"/>
              <w:jc w:val="both"/>
              <w:rPr>
                <w:rFonts w:ascii="Times New Roman" w:eastAsia="標楷體" w:hAnsi="Times New Roman"/>
                <w:sz w:val="28"/>
                <w:szCs w:val="28"/>
              </w:rPr>
            </w:pPr>
            <w:r w:rsidRPr="00474153">
              <w:rPr>
                <w:rFonts w:ascii="Times New Roman" w:hAnsi="Times New Roman"/>
                <w:sz w:val="28"/>
                <w:lang w:bidi="en-US"/>
              </w:rPr>
              <w:t>An inward remittance rejected by the bank before being credited into the internal accounts is considered “incomplete.”</w:t>
            </w:r>
          </w:p>
          <w:p w14:paraId="1A1B9927" w14:textId="77777777" w:rsidR="00E421FE" w:rsidRPr="00474153" w:rsidRDefault="00E421FE" w:rsidP="00A56215">
            <w:pPr>
              <w:pStyle w:val="a5"/>
              <w:numPr>
                <w:ilvl w:val="0"/>
                <w:numId w:val="69"/>
              </w:numPr>
              <w:spacing w:line="400" w:lineRule="exact"/>
              <w:ind w:left="653" w:hanging="653"/>
              <w:jc w:val="both"/>
              <w:rPr>
                <w:rFonts w:ascii="Times New Roman" w:eastAsia="標楷體" w:hAnsi="Times New Roman"/>
                <w:sz w:val="28"/>
                <w:szCs w:val="28"/>
              </w:rPr>
            </w:pPr>
            <w:r w:rsidRPr="00474153">
              <w:rPr>
                <w:rFonts w:ascii="Times New Roman" w:hAnsi="Times New Roman"/>
                <w:sz w:val="28"/>
                <w:lang w:bidi="en-US"/>
              </w:rPr>
              <w:t>An inward remittance rejected by the bank after being credited into the internal accounts is considered “complete.”</w:t>
            </w:r>
          </w:p>
          <w:p w14:paraId="2FCF2BA9" w14:textId="77777777" w:rsidR="00E421FE" w:rsidRPr="00474153" w:rsidRDefault="00E421FE" w:rsidP="00A56215">
            <w:pPr>
              <w:pStyle w:val="a5"/>
              <w:numPr>
                <w:ilvl w:val="0"/>
                <w:numId w:val="69"/>
              </w:numPr>
              <w:spacing w:line="400" w:lineRule="exact"/>
              <w:ind w:left="653" w:hanging="653"/>
              <w:jc w:val="both"/>
              <w:rPr>
                <w:rFonts w:ascii="Times New Roman" w:eastAsia="標楷體" w:hAnsi="Times New Roman"/>
                <w:sz w:val="28"/>
                <w:szCs w:val="28"/>
              </w:rPr>
            </w:pPr>
            <w:r w:rsidRPr="00474153">
              <w:rPr>
                <w:rFonts w:ascii="Times New Roman" w:hAnsi="Times New Roman"/>
                <w:sz w:val="28"/>
                <w:lang w:bidi="en-US"/>
              </w:rPr>
              <w:t>When a bank reports a suspicious ML/TF transaction to the Investigation Bureau after learning that its customer is placed on the sanction list or reported by media for major criminal involvement, all suspicious transactions previously completed shall be considered “complete.”</w:t>
            </w:r>
          </w:p>
        </w:tc>
        <w:tc>
          <w:tcPr>
            <w:tcW w:w="4536" w:type="dxa"/>
            <w:shd w:val="clear" w:color="auto" w:fill="auto"/>
          </w:tcPr>
          <w:p w14:paraId="39CAB89A" w14:textId="77777777" w:rsidR="00E421FE" w:rsidRPr="00474153" w:rsidRDefault="00BB41FF" w:rsidP="00A56215">
            <w:pPr>
              <w:pStyle w:val="a4"/>
              <w:numPr>
                <w:ilvl w:val="0"/>
                <w:numId w:val="135"/>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Question number changed</w:t>
            </w:r>
          </w:p>
          <w:p w14:paraId="3118CD5A" w14:textId="5BDD1337" w:rsidR="00BB41FF" w:rsidRPr="00474153" w:rsidRDefault="00BB41FF" w:rsidP="00A56215">
            <w:pPr>
              <w:pStyle w:val="a4"/>
              <w:numPr>
                <w:ilvl w:val="0"/>
                <w:numId w:val="135"/>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Amend the order of item and sub-paragraph by referring to the contents Note 2 of Q14; also, the text is amended as appropriate.</w:t>
            </w:r>
          </w:p>
        </w:tc>
      </w:tr>
      <w:tr w:rsidR="00381B18" w:rsidRPr="00474153" w14:paraId="3C755EAC" w14:textId="77777777" w:rsidTr="00E419A6">
        <w:tc>
          <w:tcPr>
            <w:tcW w:w="510" w:type="dxa"/>
            <w:shd w:val="clear" w:color="auto" w:fill="auto"/>
          </w:tcPr>
          <w:p w14:paraId="2C0C03A6" w14:textId="77777777" w:rsidR="00381B18"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62</w:t>
            </w:r>
          </w:p>
        </w:tc>
        <w:tc>
          <w:tcPr>
            <w:tcW w:w="8335" w:type="dxa"/>
            <w:shd w:val="clear" w:color="auto" w:fill="auto"/>
          </w:tcPr>
          <w:p w14:paraId="63F4C501" w14:textId="4B37124D" w:rsidR="00381B18" w:rsidRPr="00474153" w:rsidRDefault="00381B18">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51</w:t>
            </w:r>
            <w:r w:rsidRPr="00474153">
              <w:rPr>
                <w:rFonts w:ascii="Times New Roman" w:hAnsi="Times New Roman"/>
                <w:sz w:val="28"/>
                <w:lang w:bidi="en-US"/>
              </w:rPr>
              <w:t xml:space="preserve">: Financial institution at the time of confirming the customer's </w:t>
            </w:r>
            <w:r w:rsidRPr="00474153">
              <w:rPr>
                <w:rFonts w:ascii="Times New Roman" w:hAnsi="Times New Roman"/>
                <w:sz w:val="28"/>
                <w:lang w:bidi="en-US"/>
              </w:rPr>
              <w:lastRenderedPageBreak/>
              <w:t>identity shall obtain the name, date of birth and nationality of the senior managers of the corporate entity in accordance with Subparagraph 6, Article 4 of the Model Guidelines. If the customer is a branch of a foreign company in Taiwan, should the information of the senior managers in the Taiwan branch office or foreign headquarters be obtained? With respect to step 3 in identifying the beneficial owners outlined in Subparagraph 7, Article 4, which senior managers should be considered as the beneficial owners? Those of the Taiwan branch office or those of the foreign headquarters?</w:t>
            </w:r>
          </w:p>
          <w:p w14:paraId="40369F10" w14:textId="1AC5EE57" w:rsidR="00381B18" w:rsidRPr="00474153" w:rsidRDefault="00381B18">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A</w:t>
            </w:r>
            <w:r w:rsidR="00264137" w:rsidRPr="00474153">
              <w:rPr>
                <w:rFonts w:ascii="Times New Roman" w:hAnsi="Times New Roman"/>
                <w:color w:val="FF0000"/>
                <w:sz w:val="28"/>
                <w:u w:val="single"/>
                <w:lang w:bidi="en-US"/>
              </w:rPr>
              <w:t>51</w:t>
            </w:r>
            <w:r w:rsidRPr="00474153">
              <w:rPr>
                <w:rFonts w:ascii="Times New Roman" w:hAnsi="Times New Roman"/>
                <w:sz w:val="28"/>
                <w:lang w:bidi="en-US"/>
              </w:rPr>
              <w:t>:</w:t>
            </w:r>
          </w:p>
          <w:p w14:paraId="0A8111A4" w14:textId="55721BBE" w:rsidR="00381B18" w:rsidRPr="00474153" w:rsidRDefault="00381B18">
            <w:pPr>
              <w:pStyle w:val="a4"/>
              <w:numPr>
                <w:ilvl w:val="0"/>
                <w:numId w:val="24"/>
              </w:numPr>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According to FATF Recommendation 24, information on a corporate entity should distinguish between basic profile and beneficial owners. The basic profile mainly refers to proof of existence, legal form, list of directors and company registration. Beneficial owners, on the other hand, refer to natural persons who own or control the corporate entity.</w:t>
            </w:r>
          </w:p>
          <w:p w14:paraId="148E787A" w14:textId="77777777" w:rsidR="00381B18" w:rsidRPr="00474153" w:rsidRDefault="00381B18">
            <w:pPr>
              <w:pStyle w:val="a4"/>
              <w:numPr>
                <w:ilvl w:val="0"/>
                <w:numId w:val="24"/>
              </w:numPr>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 xml:space="preserve">Subparagraph 6 of the Article is intended mainly to establish a basic profile of the corporate entity, therefore information on the senior managers of the corporate customer itself </w:t>
            </w:r>
            <w:r w:rsidRPr="00474153">
              <w:rPr>
                <w:rFonts w:ascii="Times New Roman" w:hAnsi="Times New Roman"/>
                <w:i/>
                <w:sz w:val="28"/>
                <w:lang w:bidi="en-US"/>
              </w:rPr>
              <w:t>(e.g.</w:t>
            </w:r>
            <w:r w:rsidRPr="00474153">
              <w:rPr>
                <w:rFonts w:ascii="Times New Roman" w:hAnsi="Times New Roman"/>
                <w:sz w:val="28"/>
                <w:lang w:bidi="en-US"/>
              </w:rPr>
              <w:t xml:space="preserve"> the Taiwan branch office) would suffice.</w:t>
            </w:r>
          </w:p>
          <w:p w14:paraId="38B0A721" w14:textId="77777777" w:rsidR="00381B18" w:rsidRPr="00474153" w:rsidRDefault="00381B18">
            <w:pPr>
              <w:pStyle w:val="a4"/>
              <w:numPr>
                <w:ilvl w:val="0"/>
                <w:numId w:val="24"/>
              </w:numPr>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Subparagraph 7 of the Article is intended to identify the beneficial owners of the corporate entity, therefore banks should investigate, on a case-by-case basis, which senior managers (within or outside the Taiwan branch office) possess actual control over the corporate entity.</w:t>
            </w:r>
          </w:p>
        </w:tc>
        <w:tc>
          <w:tcPr>
            <w:tcW w:w="8335" w:type="dxa"/>
            <w:shd w:val="clear" w:color="auto" w:fill="auto"/>
          </w:tcPr>
          <w:p w14:paraId="6C08696A" w14:textId="77777777" w:rsidR="00381B18" w:rsidRPr="00474153" w:rsidRDefault="00381B18">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62</w:t>
            </w:r>
            <w:r w:rsidRPr="00474153">
              <w:rPr>
                <w:rFonts w:ascii="Times New Roman" w:hAnsi="Times New Roman"/>
                <w:sz w:val="28"/>
                <w:lang w:bidi="en-US"/>
              </w:rPr>
              <w:t xml:space="preserve">: Financial institution at the time of confirming the customer's </w:t>
            </w:r>
            <w:r w:rsidRPr="00474153">
              <w:rPr>
                <w:rFonts w:ascii="Times New Roman" w:hAnsi="Times New Roman"/>
                <w:sz w:val="28"/>
                <w:lang w:bidi="en-US"/>
              </w:rPr>
              <w:lastRenderedPageBreak/>
              <w:t>identity shall obtain the name, date of birth and nationality of the senior managers of the corporate entity in accordance with Subparagraph 6, Article 4 of the Model Guidelines. If the customer is a branch of a foreign company in Taiwan, should the information of the senior managers in the Taiwan branch office or foreign headquarters be obtained? With respect to step 3 in identifying the beneficial owners outlined in Subparagraph 7, Article 4, which senior managers should be considered as the beneficial owners? Those of the Taiwan branch office or those of the foreign headquarters?</w:t>
            </w:r>
          </w:p>
          <w:p w14:paraId="19C0EBD7" w14:textId="77777777" w:rsidR="00381B18" w:rsidRPr="00474153" w:rsidRDefault="00381B18">
            <w:pPr>
              <w:pStyle w:val="a4"/>
              <w:snapToGrid w:val="0"/>
              <w:spacing w:line="400" w:lineRule="exact"/>
              <w:ind w:leftChars="6" w:left="714" w:hangingChars="250" w:hanging="700"/>
              <w:jc w:val="both"/>
              <w:rPr>
                <w:rFonts w:ascii="Times New Roman" w:eastAsia="標楷體" w:hAnsi="Times New Roman"/>
                <w:bCs/>
                <w:caps/>
                <w:sz w:val="28"/>
                <w:szCs w:val="28"/>
              </w:rPr>
            </w:pPr>
            <w:r w:rsidRPr="00474153">
              <w:rPr>
                <w:rFonts w:ascii="Times New Roman" w:hAnsi="Times New Roman"/>
                <w:sz w:val="28"/>
                <w:lang w:bidi="en-US"/>
              </w:rPr>
              <w:t>A</w:t>
            </w:r>
            <w:r w:rsidRPr="00474153">
              <w:rPr>
                <w:rFonts w:ascii="Times New Roman" w:hAnsi="Times New Roman"/>
                <w:color w:val="FF0000"/>
                <w:sz w:val="28"/>
                <w:u w:val="single"/>
                <w:lang w:bidi="en-US"/>
              </w:rPr>
              <w:t>62</w:t>
            </w:r>
            <w:r w:rsidRPr="00474153">
              <w:rPr>
                <w:rFonts w:ascii="Times New Roman" w:hAnsi="Times New Roman"/>
                <w:sz w:val="28"/>
                <w:lang w:bidi="en-US"/>
              </w:rPr>
              <w:t>:</w:t>
            </w:r>
          </w:p>
          <w:p w14:paraId="192452FA" w14:textId="159F198C" w:rsidR="00381B18" w:rsidRPr="00474153" w:rsidRDefault="00381B18">
            <w:pPr>
              <w:pStyle w:val="a4"/>
              <w:numPr>
                <w:ilvl w:val="0"/>
                <w:numId w:val="75"/>
              </w:numPr>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According to FATF Recommendation 24, information on a corporate entity should distinguish between basic profile and beneficial owners. The basic profile mainly refers to proof of existence, legal form, list of directors and company registration. Beneficial owners, on the other hand, refer to natural persons who own or control the corporate entity.</w:t>
            </w:r>
          </w:p>
          <w:p w14:paraId="218FF952" w14:textId="77777777" w:rsidR="00381B18" w:rsidRPr="00474153" w:rsidRDefault="00381B18">
            <w:pPr>
              <w:pStyle w:val="a4"/>
              <w:numPr>
                <w:ilvl w:val="0"/>
                <w:numId w:val="75"/>
              </w:numPr>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 xml:space="preserve">Subparagraph 6 of the Article is intended mainly to establish a basic profile of the corporate entity, therefore information on the senior managers of the corporate customer itself </w:t>
            </w:r>
            <w:r w:rsidRPr="00474153">
              <w:rPr>
                <w:rFonts w:ascii="Times New Roman" w:hAnsi="Times New Roman"/>
                <w:i/>
                <w:sz w:val="28"/>
                <w:lang w:bidi="en-US"/>
              </w:rPr>
              <w:t>(e.g.</w:t>
            </w:r>
            <w:r w:rsidRPr="00474153">
              <w:rPr>
                <w:rFonts w:ascii="Times New Roman" w:hAnsi="Times New Roman"/>
                <w:sz w:val="28"/>
                <w:lang w:bidi="en-US"/>
              </w:rPr>
              <w:t xml:space="preserve"> the Taiwan branch office) would suffice.</w:t>
            </w:r>
          </w:p>
          <w:p w14:paraId="2B5C709E" w14:textId="77777777" w:rsidR="00381B18" w:rsidRPr="00474153" w:rsidRDefault="00381B18">
            <w:pPr>
              <w:pStyle w:val="a4"/>
              <w:numPr>
                <w:ilvl w:val="0"/>
                <w:numId w:val="75"/>
              </w:numPr>
              <w:snapToGrid w:val="0"/>
              <w:spacing w:line="400" w:lineRule="exact"/>
              <w:ind w:leftChars="0"/>
              <w:jc w:val="both"/>
              <w:rPr>
                <w:rFonts w:ascii="Times New Roman" w:eastAsia="標楷體" w:hAnsi="Times New Roman"/>
                <w:sz w:val="28"/>
                <w:szCs w:val="28"/>
              </w:rPr>
            </w:pPr>
            <w:r w:rsidRPr="00474153">
              <w:rPr>
                <w:rFonts w:ascii="Times New Roman" w:hAnsi="Times New Roman"/>
                <w:sz w:val="28"/>
                <w:lang w:bidi="en-US"/>
              </w:rPr>
              <w:t>Subparagraph 7 of the Article is intended to identify the beneficial owners of the corporate entity, therefore banks should investigate, on a case-by-case basis, which senior managers (within or outside the Taiwan branch office) possess actual control over the corporate entity.</w:t>
            </w:r>
          </w:p>
        </w:tc>
        <w:tc>
          <w:tcPr>
            <w:tcW w:w="4536" w:type="dxa"/>
            <w:shd w:val="clear" w:color="auto" w:fill="auto"/>
          </w:tcPr>
          <w:p w14:paraId="14592F39" w14:textId="77777777" w:rsidR="00381B18" w:rsidRPr="00474153" w:rsidRDefault="0093542A">
            <w:pPr>
              <w:adjustRightInd w:val="0"/>
              <w:snapToGrid w:val="0"/>
              <w:jc w:val="both"/>
              <w:rPr>
                <w:rFonts w:ascii="Times New Roman" w:eastAsia="標楷體" w:hAnsi="Times New Roman" w:cs="Times New Roman"/>
                <w:sz w:val="28"/>
                <w:szCs w:val="28"/>
              </w:rPr>
            </w:pPr>
            <w:r w:rsidRPr="00474153">
              <w:rPr>
                <w:rFonts w:ascii="Times New Roman" w:hAnsi="Times New Roman" w:cs="Times New Roman"/>
                <w:sz w:val="28"/>
                <w:lang w:bidi="en-US"/>
              </w:rPr>
              <w:lastRenderedPageBreak/>
              <w:t>Question number changed</w:t>
            </w:r>
          </w:p>
        </w:tc>
      </w:tr>
      <w:tr w:rsidR="002F63FF" w:rsidRPr="00474153" w14:paraId="2EB9DEAB" w14:textId="77777777" w:rsidTr="00E419A6">
        <w:tc>
          <w:tcPr>
            <w:tcW w:w="510" w:type="dxa"/>
            <w:shd w:val="clear" w:color="auto" w:fill="auto"/>
          </w:tcPr>
          <w:p w14:paraId="7DBDB277" w14:textId="77777777" w:rsidR="002F63FF" w:rsidRPr="00474153" w:rsidRDefault="009A2AB2">
            <w:pPr>
              <w:jc w:val="center"/>
              <w:rPr>
                <w:rFonts w:ascii="Times New Roman" w:eastAsia="標楷體" w:hAnsi="Times New Roman" w:cs="Times New Roman"/>
                <w:sz w:val="28"/>
                <w:szCs w:val="28"/>
              </w:rPr>
            </w:pPr>
            <w:r w:rsidRPr="00474153">
              <w:rPr>
                <w:rFonts w:ascii="Times New Roman" w:hAnsi="Times New Roman" w:cs="Times New Roman"/>
                <w:sz w:val="28"/>
                <w:lang w:bidi="en-US"/>
              </w:rPr>
              <w:t>63</w:t>
            </w:r>
          </w:p>
        </w:tc>
        <w:tc>
          <w:tcPr>
            <w:tcW w:w="8335" w:type="dxa"/>
            <w:shd w:val="clear" w:color="auto" w:fill="auto"/>
          </w:tcPr>
          <w:p w14:paraId="71747218" w14:textId="36553554" w:rsidR="002F63FF" w:rsidRPr="00474153" w:rsidRDefault="00F61791">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t>Q</w:t>
            </w:r>
            <w:r w:rsidR="00264137" w:rsidRPr="00474153">
              <w:rPr>
                <w:rFonts w:ascii="Times New Roman" w:hAnsi="Times New Roman"/>
                <w:color w:val="FF0000"/>
                <w:sz w:val="28"/>
                <w:u w:val="single"/>
                <w:lang w:bidi="en-US"/>
              </w:rPr>
              <w:t>52</w:t>
            </w:r>
            <w:r w:rsidRPr="00474153">
              <w:rPr>
                <w:rFonts w:ascii="Times New Roman" w:hAnsi="Times New Roman"/>
                <w:sz w:val="28"/>
                <w:lang w:bidi="en-US"/>
              </w:rPr>
              <w:t xml:space="preserve">: </w:t>
            </w:r>
            <w:r w:rsidR="002F63FF" w:rsidRPr="00474153">
              <w:rPr>
                <w:rFonts w:ascii="Times New Roman" w:hAnsi="Times New Roman"/>
                <w:sz w:val="28"/>
                <w:lang w:bidi="en-US"/>
              </w:rPr>
              <w:t>For those who have handled AML/CTF operations for less than one year in that year, how should the on-the-job training hours be calculated as specified in Paragraph 3 or 4, Article 18 of the Model Guidelines?</w:t>
            </w:r>
          </w:p>
          <w:p w14:paraId="1B49EE18" w14:textId="7DEBBA6B" w:rsidR="002F63FF" w:rsidRPr="00474153" w:rsidRDefault="002F63FF">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00264137" w:rsidRPr="00474153">
              <w:rPr>
                <w:rFonts w:ascii="Times New Roman" w:hAnsi="Times New Roman" w:cs="Times New Roman"/>
                <w:color w:val="FF0000"/>
                <w:sz w:val="28"/>
                <w:u w:val="single"/>
                <w:lang w:bidi="en-US"/>
              </w:rPr>
              <w:t>52</w:t>
            </w:r>
            <w:r w:rsidRPr="00474153">
              <w:rPr>
                <w:rFonts w:ascii="Times New Roman" w:hAnsi="Times New Roman" w:cs="Times New Roman"/>
                <w:sz w:val="28"/>
                <w:lang w:bidi="en-US"/>
              </w:rPr>
              <w:t>:</w:t>
            </w:r>
          </w:p>
          <w:p w14:paraId="7E3FCD6E" w14:textId="77777777" w:rsidR="002F63FF" w:rsidRPr="00474153" w:rsidRDefault="002F63FF">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On-the-job training hours should be pro-rated based on the duration of actual duty (calculated in months). For example: An employee who came </w:t>
            </w:r>
            <w:r w:rsidRPr="00474153">
              <w:rPr>
                <w:rFonts w:ascii="Times New Roman" w:hAnsi="Times New Roman" w:cs="Times New Roman"/>
                <w:sz w:val="28"/>
                <w:lang w:bidi="en-US"/>
              </w:rPr>
              <w:lastRenderedPageBreak/>
              <w:t>on-board since October is required to undergo 2 hours of on-the-job training for the year (12 hours * (1-10/12)=2 hours).</w:t>
            </w:r>
          </w:p>
        </w:tc>
        <w:tc>
          <w:tcPr>
            <w:tcW w:w="8335" w:type="dxa"/>
            <w:shd w:val="clear" w:color="auto" w:fill="auto"/>
          </w:tcPr>
          <w:p w14:paraId="70B8F66F" w14:textId="77777777" w:rsidR="002F63FF" w:rsidRPr="00474153" w:rsidRDefault="002F63FF">
            <w:pPr>
              <w:pStyle w:val="a4"/>
              <w:snapToGrid w:val="0"/>
              <w:spacing w:line="400" w:lineRule="exact"/>
              <w:ind w:leftChars="6" w:left="644" w:hangingChars="225" w:hanging="630"/>
              <w:jc w:val="both"/>
              <w:rPr>
                <w:rFonts w:ascii="Times New Roman" w:eastAsia="標楷體" w:hAnsi="Times New Roman"/>
                <w:bCs/>
                <w:caps/>
                <w:sz w:val="28"/>
                <w:szCs w:val="28"/>
              </w:rPr>
            </w:pPr>
            <w:r w:rsidRPr="00474153">
              <w:rPr>
                <w:rFonts w:ascii="Times New Roman" w:hAnsi="Times New Roman"/>
                <w:sz w:val="28"/>
                <w:lang w:bidi="en-US"/>
              </w:rPr>
              <w:lastRenderedPageBreak/>
              <w:t>Q</w:t>
            </w:r>
            <w:r w:rsidRPr="00474153">
              <w:rPr>
                <w:rFonts w:ascii="Times New Roman" w:hAnsi="Times New Roman"/>
                <w:color w:val="FF0000"/>
                <w:sz w:val="28"/>
                <w:u w:val="single"/>
                <w:lang w:bidi="en-US"/>
              </w:rPr>
              <w:t>63</w:t>
            </w:r>
            <w:r w:rsidRPr="00474153">
              <w:rPr>
                <w:rFonts w:ascii="Times New Roman" w:hAnsi="Times New Roman"/>
                <w:sz w:val="28"/>
                <w:lang w:bidi="en-US"/>
              </w:rPr>
              <w:t xml:space="preserve">: For those who have handled AML/CTF operations for less than one year in that year, how should the on-the-job training hours be calculated as specified in </w:t>
            </w:r>
            <w:r w:rsidRPr="00474153">
              <w:rPr>
                <w:rFonts w:ascii="Times New Roman" w:hAnsi="Times New Roman"/>
                <w:color w:val="FF0000"/>
                <w:sz w:val="28"/>
                <w:u w:val="single"/>
                <w:lang w:bidi="en-US"/>
              </w:rPr>
              <w:t>Subparagraph 4 or 5</w:t>
            </w:r>
            <w:r w:rsidRPr="00474153">
              <w:rPr>
                <w:rFonts w:ascii="Times New Roman" w:hAnsi="Times New Roman"/>
                <w:sz w:val="28"/>
                <w:lang w:bidi="en-US"/>
              </w:rPr>
              <w:t>, Article 1</w:t>
            </w:r>
            <w:r w:rsidRPr="00474153">
              <w:rPr>
                <w:rFonts w:ascii="Times New Roman" w:hAnsi="Times New Roman"/>
                <w:color w:val="FF0000"/>
                <w:sz w:val="28"/>
                <w:u w:val="single"/>
                <w:lang w:bidi="en-US"/>
              </w:rPr>
              <w:t>7</w:t>
            </w:r>
            <w:r w:rsidRPr="00474153">
              <w:rPr>
                <w:rFonts w:ascii="Times New Roman" w:hAnsi="Times New Roman"/>
                <w:sz w:val="28"/>
                <w:lang w:bidi="en-US"/>
              </w:rPr>
              <w:t xml:space="preserve"> of the Model Guidelines?</w:t>
            </w:r>
          </w:p>
          <w:p w14:paraId="02D2FBBC" w14:textId="77777777" w:rsidR="002F63FF" w:rsidRPr="00474153" w:rsidRDefault="002F63FF">
            <w:pPr>
              <w:jc w:val="both"/>
              <w:rPr>
                <w:rFonts w:ascii="Times New Roman" w:eastAsia="標楷體" w:hAnsi="Times New Roman" w:cs="Times New Roman"/>
                <w:sz w:val="28"/>
                <w:szCs w:val="28"/>
              </w:rPr>
            </w:pPr>
            <w:r w:rsidRPr="00474153">
              <w:rPr>
                <w:rFonts w:ascii="Times New Roman" w:hAnsi="Times New Roman" w:cs="Times New Roman"/>
                <w:sz w:val="28"/>
                <w:lang w:bidi="en-US"/>
              </w:rPr>
              <w:t>A</w:t>
            </w:r>
            <w:r w:rsidRPr="00474153">
              <w:rPr>
                <w:rFonts w:ascii="Times New Roman" w:hAnsi="Times New Roman" w:cs="Times New Roman"/>
                <w:color w:val="FF0000"/>
                <w:sz w:val="28"/>
                <w:u w:val="single"/>
                <w:lang w:bidi="en-US"/>
              </w:rPr>
              <w:t>63</w:t>
            </w:r>
            <w:r w:rsidRPr="00474153">
              <w:rPr>
                <w:rFonts w:ascii="Times New Roman" w:hAnsi="Times New Roman" w:cs="Times New Roman"/>
                <w:sz w:val="28"/>
                <w:lang w:bidi="en-US"/>
              </w:rPr>
              <w:t>:</w:t>
            </w:r>
          </w:p>
          <w:p w14:paraId="73101510" w14:textId="77777777" w:rsidR="002F63FF" w:rsidRPr="00474153" w:rsidRDefault="002F63FF">
            <w:pPr>
              <w:jc w:val="both"/>
              <w:rPr>
                <w:rFonts w:ascii="Times New Roman" w:eastAsia="標楷體" w:hAnsi="Times New Roman" w:cs="Times New Roman"/>
                <w:sz w:val="28"/>
                <w:szCs w:val="28"/>
              </w:rPr>
            </w:pPr>
            <w:r w:rsidRPr="00474153">
              <w:rPr>
                <w:rFonts w:ascii="Times New Roman" w:hAnsi="Times New Roman" w:cs="Times New Roman"/>
                <w:sz w:val="28"/>
                <w:lang w:bidi="en-US"/>
              </w:rPr>
              <w:t xml:space="preserve">On-the-job training hours should be pro-rated based on the duration of actual duty (calculated in months). For example: An employee who came </w:t>
            </w:r>
            <w:r w:rsidRPr="00474153">
              <w:rPr>
                <w:rFonts w:ascii="Times New Roman" w:hAnsi="Times New Roman" w:cs="Times New Roman"/>
                <w:sz w:val="28"/>
                <w:lang w:bidi="en-US"/>
              </w:rPr>
              <w:lastRenderedPageBreak/>
              <w:t>on-board since October is required to undergo 2 hours of on-the-job training for the year (12 hours * (1-10/12)=2 hours).</w:t>
            </w:r>
          </w:p>
        </w:tc>
        <w:tc>
          <w:tcPr>
            <w:tcW w:w="4536" w:type="dxa"/>
            <w:shd w:val="clear" w:color="auto" w:fill="auto"/>
          </w:tcPr>
          <w:p w14:paraId="4B0508BD" w14:textId="77777777" w:rsidR="002F63FF" w:rsidRPr="00474153" w:rsidRDefault="0093542A" w:rsidP="00A56215">
            <w:pPr>
              <w:pStyle w:val="a4"/>
              <w:numPr>
                <w:ilvl w:val="0"/>
                <w:numId w:val="136"/>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lastRenderedPageBreak/>
              <w:t>Question number changed</w:t>
            </w:r>
          </w:p>
          <w:p w14:paraId="1B2D2A3B" w14:textId="77777777" w:rsidR="002F63FF" w:rsidRPr="00474153" w:rsidRDefault="002F63FF" w:rsidP="00A56215">
            <w:pPr>
              <w:pStyle w:val="a4"/>
              <w:numPr>
                <w:ilvl w:val="0"/>
                <w:numId w:val="136"/>
              </w:numPr>
              <w:adjustRightInd w:val="0"/>
              <w:snapToGrid w:val="0"/>
              <w:spacing w:line="400" w:lineRule="exact"/>
              <w:ind w:leftChars="0" w:left="569" w:hanging="569"/>
              <w:jc w:val="both"/>
              <w:rPr>
                <w:rFonts w:ascii="Times New Roman" w:eastAsia="標楷體" w:hAnsi="Times New Roman"/>
                <w:sz w:val="28"/>
                <w:szCs w:val="28"/>
              </w:rPr>
            </w:pPr>
            <w:r w:rsidRPr="00474153">
              <w:rPr>
                <w:rFonts w:ascii="Times New Roman" w:hAnsi="Times New Roman"/>
                <w:sz w:val="28"/>
                <w:lang w:bidi="en-US"/>
              </w:rPr>
              <w:t xml:space="preserve">The original Subparagraphs 4 and 5, Paragraph 1, Article 17 of the Model Guidelines, has been adjusted as Paragraphs 3 and 4, Article 18; therefore, the cited provisions have been adjusted </w:t>
            </w:r>
            <w:r w:rsidRPr="00474153">
              <w:rPr>
                <w:rFonts w:ascii="Times New Roman" w:hAnsi="Times New Roman"/>
                <w:sz w:val="28"/>
                <w:lang w:bidi="en-US"/>
              </w:rPr>
              <w:lastRenderedPageBreak/>
              <w:t>accordingly.</w:t>
            </w:r>
          </w:p>
        </w:tc>
      </w:tr>
    </w:tbl>
    <w:p w14:paraId="2BA019AB" w14:textId="77777777" w:rsidR="0008702C" w:rsidRPr="000C6B14" w:rsidRDefault="0008702C">
      <w:pPr>
        <w:rPr>
          <w:rFonts w:ascii="Times New Roman" w:eastAsia="標楷體" w:hAnsi="Times New Roman" w:cs="Times New Roman"/>
          <w:sz w:val="28"/>
          <w:szCs w:val="28"/>
        </w:rPr>
      </w:pPr>
    </w:p>
    <w:sectPr w:rsidR="0008702C" w:rsidRPr="000C6B14" w:rsidSect="00661DFE">
      <w:footerReference w:type="default" r:id="rId11"/>
      <w:pgSz w:w="23814" w:h="16839" w:orient="landscape" w:code="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F5919" w14:textId="77777777" w:rsidR="008276BE" w:rsidRDefault="008276BE" w:rsidP="00191461">
      <w:pPr>
        <w:spacing w:line="240" w:lineRule="auto"/>
      </w:pPr>
      <w:r>
        <w:separator/>
      </w:r>
    </w:p>
  </w:endnote>
  <w:endnote w:type="continuationSeparator" w:id="0">
    <w:p w14:paraId="510E454D" w14:textId="77777777" w:rsidR="008276BE" w:rsidRDefault="008276BE" w:rsidP="001914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ngsana New">
    <w:altName w:val="Arial Unicode MS"/>
    <w:panose1 w:val="02020603050405020304"/>
    <w:charset w:val="DE"/>
    <w:family w:val="roman"/>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ACC47" w14:textId="1761EAB3" w:rsidR="003D543D" w:rsidRDefault="003D543D" w:rsidP="00137731">
    <w:pPr>
      <w:pStyle w:val="aa"/>
      <w:jc w:val="center"/>
    </w:pPr>
    <w:r>
      <w:rPr>
        <w:lang w:bidi="en-US"/>
      </w:rPr>
      <w:fldChar w:fldCharType="begin"/>
    </w:r>
    <w:r>
      <w:rPr>
        <w:lang w:bidi="en-US"/>
      </w:rPr>
      <w:instrText>PAGE   \* MERGEFORMAT</w:instrText>
    </w:r>
    <w:r>
      <w:rPr>
        <w:lang w:bidi="en-US"/>
      </w:rPr>
      <w:fldChar w:fldCharType="separate"/>
    </w:r>
    <w:r w:rsidR="00B8163E">
      <w:rPr>
        <w:noProof/>
        <w:lang w:bidi="en-US"/>
      </w:rPr>
      <w:t>2</w:t>
    </w:r>
    <w:r>
      <w:rPr>
        <w:noProof/>
        <w:lang w:bidi="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31E2B" w14:textId="77777777" w:rsidR="008276BE" w:rsidRDefault="008276BE" w:rsidP="00191461">
      <w:pPr>
        <w:spacing w:line="240" w:lineRule="auto"/>
      </w:pPr>
      <w:r>
        <w:separator/>
      </w:r>
    </w:p>
  </w:footnote>
  <w:footnote w:type="continuationSeparator" w:id="0">
    <w:p w14:paraId="12B4FC9E" w14:textId="77777777" w:rsidR="008276BE" w:rsidRDefault="008276BE" w:rsidP="001914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4465"/>
    <w:multiLevelType w:val="hybridMultilevel"/>
    <w:tmpl w:val="81784E22"/>
    <w:lvl w:ilvl="0" w:tplc="A42CD7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CB7DB5"/>
    <w:multiLevelType w:val="hybridMultilevel"/>
    <w:tmpl w:val="7E60A576"/>
    <w:lvl w:ilvl="0" w:tplc="223261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AF1A43"/>
    <w:multiLevelType w:val="hybridMultilevel"/>
    <w:tmpl w:val="0BA653B0"/>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921C03"/>
    <w:multiLevelType w:val="hybridMultilevel"/>
    <w:tmpl w:val="AD5AC9DE"/>
    <w:lvl w:ilvl="0" w:tplc="DE1A27C6">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0138F9"/>
    <w:multiLevelType w:val="hybridMultilevel"/>
    <w:tmpl w:val="0052AD24"/>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65C30AD"/>
    <w:multiLevelType w:val="hybridMultilevel"/>
    <w:tmpl w:val="6EA666C2"/>
    <w:lvl w:ilvl="0" w:tplc="B6C4180C">
      <w:start w:val="1"/>
      <w:numFmt w:val="decimal"/>
      <w:lvlText w:val="(%1)"/>
      <w:lvlJc w:val="left"/>
      <w:pPr>
        <w:ind w:left="480" w:hanging="480"/>
      </w:pPr>
      <w:rPr>
        <w:rFonts w:asciiTheme="minorEastAsia" w:eastAsiaTheme="minorEastAsia" w:hAnsiTheme="minorEastAsia" w:hint="default"/>
        <w:strike/>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643234"/>
    <w:multiLevelType w:val="hybridMultilevel"/>
    <w:tmpl w:val="5EB24C4A"/>
    <w:lvl w:ilvl="0" w:tplc="E36C6AA2">
      <w:start w:val="1"/>
      <w:numFmt w:val="decimal"/>
      <w:lvlText w:val="(%1)"/>
      <w:lvlJc w:val="left"/>
      <w:pPr>
        <w:ind w:left="720" w:hanging="720"/>
      </w:pPr>
      <w:rPr>
        <w:rFonts w:asciiTheme="minorEastAsia" w:eastAsiaTheme="minorEastAsia" w:hAnsiTheme="minorEastAsia"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95B1802"/>
    <w:multiLevelType w:val="hybridMultilevel"/>
    <w:tmpl w:val="64F8062C"/>
    <w:lvl w:ilvl="0" w:tplc="9B662D76">
      <w:start w:val="1"/>
      <w:numFmt w:val="upp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09A8185E"/>
    <w:multiLevelType w:val="hybridMultilevel"/>
    <w:tmpl w:val="9E9A1F32"/>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A5768B7"/>
    <w:multiLevelType w:val="hybridMultilevel"/>
    <w:tmpl w:val="56D24464"/>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AC84B24"/>
    <w:multiLevelType w:val="hybridMultilevel"/>
    <w:tmpl w:val="A18640CA"/>
    <w:lvl w:ilvl="0" w:tplc="5CF6A8E4">
      <w:start w:val="1"/>
      <w:numFmt w:val="decimal"/>
      <w:lvlText w:val="(%1)"/>
      <w:lvlJc w:val="left"/>
      <w:pPr>
        <w:ind w:left="734" w:hanging="72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1" w15:restartNumberingAfterBreak="0">
    <w:nsid w:val="0C8867D2"/>
    <w:multiLevelType w:val="hybridMultilevel"/>
    <w:tmpl w:val="C27C8E84"/>
    <w:lvl w:ilvl="0" w:tplc="BD98F62C">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00F3A39"/>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087304F"/>
    <w:multiLevelType w:val="hybridMultilevel"/>
    <w:tmpl w:val="66C06B6A"/>
    <w:lvl w:ilvl="0" w:tplc="5C0A818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2102084"/>
    <w:multiLevelType w:val="hybridMultilevel"/>
    <w:tmpl w:val="4AE47FCE"/>
    <w:lvl w:ilvl="0" w:tplc="EFAC5B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2394559"/>
    <w:multiLevelType w:val="hybridMultilevel"/>
    <w:tmpl w:val="BED6882E"/>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36C43F2"/>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3747946"/>
    <w:multiLevelType w:val="hybridMultilevel"/>
    <w:tmpl w:val="425E86C2"/>
    <w:lvl w:ilvl="0" w:tplc="D5B2B67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3E438FD"/>
    <w:multiLevelType w:val="hybridMultilevel"/>
    <w:tmpl w:val="5422FD6C"/>
    <w:lvl w:ilvl="0" w:tplc="6CEC2F60">
      <w:start w:val="1"/>
      <w:numFmt w:val="decimal"/>
      <w:lvlText w:val="(%1)"/>
      <w:lvlJc w:val="left"/>
      <w:pPr>
        <w:ind w:left="734" w:hanging="720"/>
      </w:pPr>
      <w:rPr>
        <w:rFonts w:hint="eastAsia"/>
        <w:color w:val="FF000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9" w15:restartNumberingAfterBreak="0">
    <w:nsid w:val="149F3DD2"/>
    <w:multiLevelType w:val="hybridMultilevel"/>
    <w:tmpl w:val="E926FB48"/>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4B76E49"/>
    <w:multiLevelType w:val="hybridMultilevel"/>
    <w:tmpl w:val="2F08C524"/>
    <w:lvl w:ilvl="0" w:tplc="9D14AA38">
      <w:start w:val="1"/>
      <w:numFmt w:val="decimal"/>
      <w:lvlText w:val="(%1)"/>
      <w:lvlJc w:val="left"/>
      <w:pPr>
        <w:ind w:left="720" w:hanging="720"/>
      </w:pPr>
      <w:rPr>
        <w:rFonts w:asciiTheme="minorEastAsia" w:eastAsiaTheme="minorEastAsia" w:hAnsiTheme="minorEastAsia"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5533FCB"/>
    <w:multiLevelType w:val="hybridMultilevel"/>
    <w:tmpl w:val="2D766262"/>
    <w:lvl w:ilvl="0" w:tplc="E36C6AA2">
      <w:start w:val="1"/>
      <w:numFmt w:val="decimal"/>
      <w:lvlText w:val="(%1)"/>
      <w:lvlJc w:val="left"/>
      <w:pPr>
        <w:ind w:left="480" w:hanging="480"/>
      </w:pPr>
      <w:rPr>
        <w:rFonts w:asciiTheme="minorEastAsia" w:eastAsiaTheme="minorEastAsia" w:hAnsiTheme="minorEastAsia"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55C2AA4"/>
    <w:multiLevelType w:val="hybridMultilevel"/>
    <w:tmpl w:val="1878F144"/>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5976645"/>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62371A6"/>
    <w:multiLevelType w:val="hybridMultilevel"/>
    <w:tmpl w:val="6038BDE6"/>
    <w:lvl w:ilvl="0" w:tplc="9B662D76">
      <w:start w:val="1"/>
      <w:numFmt w:val="upperLetter"/>
      <w:lvlText w:val="%1."/>
      <w:lvlJc w:val="left"/>
      <w:pPr>
        <w:ind w:left="1362" w:hanging="480"/>
      </w:pPr>
      <w:rPr>
        <w:rFonts w:hint="default"/>
      </w:rPr>
    </w:lvl>
    <w:lvl w:ilvl="1" w:tplc="04090019" w:tentative="1">
      <w:start w:val="1"/>
      <w:numFmt w:val="ideographTraditional"/>
      <w:lvlText w:val="%2、"/>
      <w:lvlJc w:val="left"/>
      <w:pPr>
        <w:ind w:left="1842" w:hanging="480"/>
      </w:pPr>
    </w:lvl>
    <w:lvl w:ilvl="2" w:tplc="0409001B" w:tentative="1">
      <w:start w:val="1"/>
      <w:numFmt w:val="lowerRoman"/>
      <w:lvlText w:val="%3."/>
      <w:lvlJc w:val="right"/>
      <w:pPr>
        <w:ind w:left="2322" w:hanging="480"/>
      </w:pPr>
    </w:lvl>
    <w:lvl w:ilvl="3" w:tplc="0409000F" w:tentative="1">
      <w:start w:val="1"/>
      <w:numFmt w:val="decimal"/>
      <w:lvlText w:val="%4."/>
      <w:lvlJc w:val="left"/>
      <w:pPr>
        <w:ind w:left="2802" w:hanging="480"/>
      </w:pPr>
    </w:lvl>
    <w:lvl w:ilvl="4" w:tplc="04090019" w:tentative="1">
      <w:start w:val="1"/>
      <w:numFmt w:val="ideographTraditional"/>
      <w:lvlText w:val="%5、"/>
      <w:lvlJc w:val="left"/>
      <w:pPr>
        <w:ind w:left="3282" w:hanging="480"/>
      </w:pPr>
    </w:lvl>
    <w:lvl w:ilvl="5" w:tplc="0409001B" w:tentative="1">
      <w:start w:val="1"/>
      <w:numFmt w:val="lowerRoman"/>
      <w:lvlText w:val="%6."/>
      <w:lvlJc w:val="right"/>
      <w:pPr>
        <w:ind w:left="3762" w:hanging="480"/>
      </w:pPr>
    </w:lvl>
    <w:lvl w:ilvl="6" w:tplc="0409000F" w:tentative="1">
      <w:start w:val="1"/>
      <w:numFmt w:val="decimal"/>
      <w:lvlText w:val="%7."/>
      <w:lvlJc w:val="left"/>
      <w:pPr>
        <w:ind w:left="4242" w:hanging="480"/>
      </w:pPr>
    </w:lvl>
    <w:lvl w:ilvl="7" w:tplc="04090019" w:tentative="1">
      <w:start w:val="1"/>
      <w:numFmt w:val="ideographTraditional"/>
      <w:lvlText w:val="%8、"/>
      <w:lvlJc w:val="left"/>
      <w:pPr>
        <w:ind w:left="4722" w:hanging="480"/>
      </w:pPr>
    </w:lvl>
    <w:lvl w:ilvl="8" w:tplc="0409001B" w:tentative="1">
      <w:start w:val="1"/>
      <w:numFmt w:val="lowerRoman"/>
      <w:lvlText w:val="%9."/>
      <w:lvlJc w:val="right"/>
      <w:pPr>
        <w:ind w:left="5202" w:hanging="480"/>
      </w:pPr>
    </w:lvl>
  </w:abstractNum>
  <w:abstractNum w:abstractNumId="25" w15:restartNumberingAfterBreak="0">
    <w:nsid w:val="174C624A"/>
    <w:multiLevelType w:val="hybridMultilevel"/>
    <w:tmpl w:val="656C7C56"/>
    <w:lvl w:ilvl="0" w:tplc="36D87C9C">
      <w:start w:val="1"/>
      <w:numFmt w:val="decimal"/>
      <w:lvlText w:val="(%1)"/>
      <w:lvlJc w:val="left"/>
      <w:pPr>
        <w:ind w:left="734" w:hanging="720"/>
      </w:pPr>
      <w:rPr>
        <w:rFonts w:hint="default"/>
      </w:rPr>
    </w:lvl>
    <w:lvl w:ilvl="1" w:tplc="0409001B">
      <w:start w:val="1"/>
      <w:numFmt w:val="lowerRoman"/>
      <w:lvlText w:val="%2."/>
      <w:lvlJc w:val="righ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26" w15:restartNumberingAfterBreak="0">
    <w:nsid w:val="17BE1002"/>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8680C4B"/>
    <w:multiLevelType w:val="hybridMultilevel"/>
    <w:tmpl w:val="AD425DB4"/>
    <w:lvl w:ilvl="0" w:tplc="E6E232F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A350B92"/>
    <w:multiLevelType w:val="hybridMultilevel"/>
    <w:tmpl w:val="C0200448"/>
    <w:lvl w:ilvl="0" w:tplc="DD5009E4">
      <w:start w:val="1"/>
      <w:numFmt w:val="decimal"/>
      <w:lvlText w:val="(%1)"/>
      <w:lvlJc w:val="left"/>
      <w:pPr>
        <w:ind w:left="734" w:hanging="720"/>
      </w:pPr>
      <w:rPr>
        <w:rFonts w:hint="default"/>
        <w:color w:val="FF0000"/>
        <w:u w:val="single"/>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29" w15:restartNumberingAfterBreak="0">
    <w:nsid w:val="1ABD09F7"/>
    <w:multiLevelType w:val="hybridMultilevel"/>
    <w:tmpl w:val="55DC6AF0"/>
    <w:lvl w:ilvl="0" w:tplc="E4BECC08">
      <w:start w:val="1"/>
      <w:numFmt w:val="decimal"/>
      <w:lvlText w:val="(%1)"/>
      <w:lvlJc w:val="left"/>
      <w:pPr>
        <w:ind w:left="480" w:hanging="480"/>
      </w:pPr>
      <w:rPr>
        <w:rFonts w:asciiTheme="minorEastAsia" w:eastAsiaTheme="minorEastAsia" w:hAnsiTheme="minorEastAsia" w:hint="default"/>
        <w:strike/>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AFF694C"/>
    <w:multiLevelType w:val="hybridMultilevel"/>
    <w:tmpl w:val="DE2A9934"/>
    <w:lvl w:ilvl="0" w:tplc="E71A934C">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C59342A"/>
    <w:multiLevelType w:val="hybridMultilevel"/>
    <w:tmpl w:val="E622615A"/>
    <w:lvl w:ilvl="0" w:tplc="4978CED8">
      <w:start w:val="1"/>
      <w:numFmt w:val="decimal"/>
      <w:lvlText w:val="(%1)"/>
      <w:lvlJc w:val="left"/>
      <w:pPr>
        <w:ind w:left="720" w:hanging="720"/>
      </w:pPr>
      <w:rPr>
        <w:rFonts w:ascii="Times New Roman" w:eastAsiaTheme="minorEastAsia" w:hAnsi="Times New Roman" w:cs="Times New Roman" w:hint="default"/>
        <w:strike w:val="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CFD3D2E"/>
    <w:multiLevelType w:val="hybridMultilevel"/>
    <w:tmpl w:val="982AF88E"/>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D4340D7"/>
    <w:multiLevelType w:val="hybridMultilevel"/>
    <w:tmpl w:val="7514DBA2"/>
    <w:lvl w:ilvl="0" w:tplc="698450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D9F0AC9"/>
    <w:multiLevelType w:val="hybridMultilevel"/>
    <w:tmpl w:val="B636C9DA"/>
    <w:lvl w:ilvl="0" w:tplc="2856F678">
      <w:start w:val="1"/>
      <w:numFmt w:val="decimal"/>
      <w:lvlText w:val="（%1）"/>
      <w:lvlJc w:val="left"/>
      <w:pPr>
        <w:ind w:left="494" w:hanging="480"/>
      </w:pPr>
      <w:rPr>
        <w:rFonts w:hint="eastAsia"/>
        <w:lang w:val="en-US"/>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35" w15:restartNumberingAfterBreak="0">
    <w:nsid w:val="1E44434E"/>
    <w:multiLevelType w:val="hybridMultilevel"/>
    <w:tmpl w:val="2890790C"/>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EEA3F96"/>
    <w:multiLevelType w:val="hybridMultilevel"/>
    <w:tmpl w:val="96A47EDE"/>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F1641CC"/>
    <w:multiLevelType w:val="hybridMultilevel"/>
    <w:tmpl w:val="9A0EB372"/>
    <w:lvl w:ilvl="0" w:tplc="B41E77CC">
      <w:start w:val="1"/>
      <w:numFmt w:val="decimal"/>
      <w:lvlText w:val="(%1)"/>
      <w:lvlJc w:val="left"/>
      <w:pPr>
        <w:ind w:left="734" w:hanging="720"/>
      </w:pPr>
      <w:rPr>
        <w:rFonts w:asciiTheme="minorEastAsia" w:eastAsiaTheme="minorEastAsia" w:hAnsiTheme="minorEastAsia" w:hint="default"/>
        <w:color w:val="auto"/>
        <w:u w:val="none"/>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38" w15:restartNumberingAfterBreak="0">
    <w:nsid w:val="1F9C48ED"/>
    <w:multiLevelType w:val="hybridMultilevel"/>
    <w:tmpl w:val="614E55FE"/>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18107CD"/>
    <w:multiLevelType w:val="hybridMultilevel"/>
    <w:tmpl w:val="D4EA8B70"/>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2710755"/>
    <w:multiLevelType w:val="hybridMultilevel"/>
    <w:tmpl w:val="B8029D74"/>
    <w:lvl w:ilvl="0" w:tplc="5A6C444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2780DF9"/>
    <w:multiLevelType w:val="hybridMultilevel"/>
    <w:tmpl w:val="8EA038B0"/>
    <w:lvl w:ilvl="0" w:tplc="D5B881F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34F348A"/>
    <w:multiLevelType w:val="hybridMultilevel"/>
    <w:tmpl w:val="296EC02C"/>
    <w:lvl w:ilvl="0" w:tplc="F8F0C39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24614897"/>
    <w:multiLevelType w:val="hybridMultilevel"/>
    <w:tmpl w:val="37EA6C5A"/>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24836F3F"/>
    <w:multiLevelType w:val="hybridMultilevel"/>
    <w:tmpl w:val="703C0AEC"/>
    <w:lvl w:ilvl="0" w:tplc="5944F2F8">
      <w:start w:val="1"/>
      <w:numFmt w:val="decimal"/>
      <w:lvlText w:val="(%1)"/>
      <w:lvlJc w:val="left"/>
      <w:pPr>
        <w:ind w:left="720" w:hanging="720"/>
      </w:pPr>
      <w:rPr>
        <w:rFonts w:asciiTheme="minorEastAsia" w:eastAsiaTheme="minorEastAsia" w:hAnsiTheme="minorEastAsia" w:hint="default"/>
        <w:strik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54344DA"/>
    <w:multiLevelType w:val="hybridMultilevel"/>
    <w:tmpl w:val="392A721C"/>
    <w:lvl w:ilvl="0" w:tplc="A828AE2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6EA2334"/>
    <w:multiLevelType w:val="hybridMultilevel"/>
    <w:tmpl w:val="B7B299D0"/>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74D6FEF"/>
    <w:multiLevelType w:val="hybridMultilevel"/>
    <w:tmpl w:val="7514DBA2"/>
    <w:lvl w:ilvl="0" w:tplc="698450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B4365A3"/>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B952036"/>
    <w:multiLevelType w:val="hybridMultilevel"/>
    <w:tmpl w:val="A18640CA"/>
    <w:lvl w:ilvl="0" w:tplc="5CF6A8E4">
      <w:start w:val="1"/>
      <w:numFmt w:val="decimal"/>
      <w:lvlText w:val="(%1)"/>
      <w:lvlJc w:val="left"/>
      <w:pPr>
        <w:ind w:left="734" w:hanging="72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50" w15:restartNumberingAfterBreak="0">
    <w:nsid w:val="2BC01FBF"/>
    <w:multiLevelType w:val="hybridMultilevel"/>
    <w:tmpl w:val="64F8062C"/>
    <w:lvl w:ilvl="0" w:tplc="9B662D76">
      <w:start w:val="1"/>
      <w:numFmt w:val="upp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1" w15:restartNumberingAfterBreak="0">
    <w:nsid w:val="2FBB55EB"/>
    <w:multiLevelType w:val="hybridMultilevel"/>
    <w:tmpl w:val="7514DBA2"/>
    <w:lvl w:ilvl="0" w:tplc="698450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045723B"/>
    <w:multiLevelType w:val="hybridMultilevel"/>
    <w:tmpl w:val="425E86C2"/>
    <w:lvl w:ilvl="0" w:tplc="D5B2B67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084031A"/>
    <w:multiLevelType w:val="hybridMultilevel"/>
    <w:tmpl w:val="656C7C56"/>
    <w:lvl w:ilvl="0" w:tplc="36D87C9C">
      <w:start w:val="1"/>
      <w:numFmt w:val="decimal"/>
      <w:lvlText w:val="(%1)"/>
      <w:lvlJc w:val="left"/>
      <w:pPr>
        <w:ind w:left="734" w:hanging="720"/>
      </w:pPr>
      <w:rPr>
        <w:rFonts w:hint="default"/>
      </w:rPr>
    </w:lvl>
    <w:lvl w:ilvl="1" w:tplc="0409001B">
      <w:start w:val="1"/>
      <w:numFmt w:val="lowerRoman"/>
      <w:lvlText w:val="%2."/>
      <w:lvlJc w:val="righ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54" w15:restartNumberingAfterBreak="0">
    <w:nsid w:val="34351501"/>
    <w:multiLevelType w:val="hybridMultilevel"/>
    <w:tmpl w:val="ACAE271C"/>
    <w:lvl w:ilvl="0" w:tplc="D8D88C2C">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35A6637D"/>
    <w:multiLevelType w:val="hybridMultilevel"/>
    <w:tmpl w:val="61347028"/>
    <w:lvl w:ilvl="0" w:tplc="21B482A6">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38ED23AD"/>
    <w:multiLevelType w:val="hybridMultilevel"/>
    <w:tmpl w:val="9A66B750"/>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C942806"/>
    <w:multiLevelType w:val="hybridMultilevel"/>
    <w:tmpl w:val="75BA02E8"/>
    <w:lvl w:ilvl="0" w:tplc="75C0E61E">
      <w:start w:val="1"/>
      <w:numFmt w:val="decimal"/>
      <w:lvlText w:val="(%1)"/>
      <w:lvlJc w:val="left"/>
      <w:pPr>
        <w:ind w:left="480" w:hanging="480"/>
      </w:pPr>
      <w:rPr>
        <w:rFonts w:asciiTheme="minorEastAsia" w:eastAsiaTheme="minorEastAsia" w:hAnsiTheme="minorEastAsia"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DC03482"/>
    <w:multiLevelType w:val="hybridMultilevel"/>
    <w:tmpl w:val="479EF66A"/>
    <w:lvl w:ilvl="0" w:tplc="75C0E61E">
      <w:start w:val="1"/>
      <w:numFmt w:val="decimal"/>
      <w:lvlText w:val="(%1)"/>
      <w:lvlJc w:val="left"/>
      <w:pPr>
        <w:ind w:left="480" w:hanging="480"/>
      </w:pPr>
      <w:rPr>
        <w:rFonts w:asciiTheme="minorEastAsia" w:eastAsiaTheme="minorEastAsia" w:hAnsiTheme="minorEastAsia"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DFB7609"/>
    <w:multiLevelType w:val="hybridMultilevel"/>
    <w:tmpl w:val="982AF88E"/>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E9D49F4"/>
    <w:multiLevelType w:val="hybridMultilevel"/>
    <w:tmpl w:val="2D8CCED0"/>
    <w:lvl w:ilvl="0" w:tplc="87DEDB0A">
      <w:start w:val="1"/>
      <w:numFmt w:val="decimal"/>
      <w:lvlText w:val="（%1）"/>
      <w:lvlJc w:val="left"/>
      <w:pPr>
        <w:ind w:left="480" w:hanging="480"/>
      </w:pPr>
      <w:rPr>
        <w:rFonts w:hint="eastAsia"/>
        <w:strik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403E42FD"/>
    <w:multiLevelType w:val="hybridMultilevel"/>
    <w:tmpl w:val="44DACFB2"/>
    <w:lvl w:ilvl="0" w:tplc="04090015">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0DA1D17"/>
    <w:multiLevelType w:val="hybridMultilevel"/>
    <w:tmpl w:val="805AA584"/>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423E7C85"/>
    <w:multiLevelType w:val="hybridMultilevel"/>
    <w:tmpl w:val="645EC3A8"/>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5CD7E83"/>
    <w:multiLevelType w:val="hybridMultilevel"/>
    <w:tmpl w:val="652EFE56"/>
    <w:lvl w:ilvl="0" w:tplc="75C0E61E">
      <w:start w:val="1"/>
      <w:numFmt w:val="decimal"/>
      <w:lvlText w:val="(%1)"/>
      <w:lvlJc w:val="left"/>
      <w:pPr>
        <w:ind w:left="480" w:hanging="48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6317D36"/>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6851FA7"/>
    <w:multiLevelType w:val="hybridMultilevel"/>
    <w:tmpl w:val="805AA584"/>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489C5551"/>
    <w:multiLevelType w:val="hybridMultilevel"/>
    <w:tmpl w:val="B7B299D0"/>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4A6000A0"/>
    <w:multiLevelType w:val="hybridMultilevel"/>
    <w:tmpl w:val="0CEE6F1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AED2CC3"/>
    <w:multiLevelType w:val="hybridMultilevel"/>
    <w:tmpl w:val="3D2EA202"/>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B0073EF"/>
    <w:multiLevelType w:val="hybridMultilevel"/>
    <w:tmpl w:val="70341566"/>
    <w:lvl w:ilvl="0" w:tplc="E36C6AA2">
      <w:start w:val="1"/>
      <w:numFmt w:val="decimal"/>
      <w:lvlText w:val="(%1)"/>
      <w:lvlJc w:val="left"/>
      <w:pPr>
        <w:ind w:left="480" w:hanging="480"/>
      </w:pPr>
      <w:rPr>
        <w:rFonts w:asciiTheme="minorEastAsia" w:eastAsiaTheme="minorEastAsia" w:hAnsiTheme="minorEastAsia" w:hint="default"/>
        <w:color w:val="FF0000"/>
        <w:u w:val="single"/>
      </w:rPr>
    </w:lvl>
    <w:lvl w:ilvl="1" w:tplc="E36C6AA2">
      <w:start w:val="1"/>
      <w:numFmt w:val="decimal"/>
      <w:lvlText w:val="(%2)"/>
      <w:lvlJc w:val="left"/>
      <w:pPr>
        <w:ind w:left="960" w:hanging="480"/>
      </w:pPr>
      <w:rPr>
        <w:rFonts w:asciiTheme="minorEastAsia" w:eastAsiaTheme="minorEastAsia" w:hAnsiTheme="minorEastAsia"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4BF5487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C760A9A"/>
    <w:multiLevelType w:val="hybridMultilevel"/>
    <w:tmpl w:val="DEA29066"/>
    <w:lvl w:ilvl="0" w:tplc="30AA793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C93634A"/>
    <w:multiLevelType w:val="hybridMultilevel"/>
    <w:tmpl w:val="A18640CA"/>
    <w:lvl w:ilvl="0" w:tplc="5CF6A8E4">
      <w:start w:val="1"/>
      <w:numFmt w:val="decimal"/>
      <w:lvlText w:val="(%1)"/>
      <w:lvlJc w:val="left"/>
      <w:pPr>
        <w:ind w:left="734" w:hanging="72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74" w15:restartNumberingAfterBreak="0">
    <w:nsid w:val="4CDA0FB6"/>
    <w:multiLevelType w:val="hybridMultilevel"/>
    <w:tmpl w:val="B7B299D0"/>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4DE228DD"/>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4E403C60"/>
    <w:multiLevelType w:val="hybridMultilevel"/>
    <w:tmpl w:val="956CE41E"/>
    <w:lvl w:ilvl="0" w:tplc="9134218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0534104"/>
    <w:multiLevelType w:val="hybridMultilevel"/>
    <w:tmpl w:val="D2D00674"/>
    <w:lvl w:ilvl="0" w:tplc="EE802A6E">
      <w:start w:val="1"/>
      <w:numFmt w:val="decimal"/>
      <w:lvlText w:val="(%1)"/>
      <w:lvlJc w:val="left"/>
      <w:pPr>
        <w:ind w:left="720" w:hanging="720"/>
      </w:pPr>
      <w:rPr>
        <w:rFonts w:ascii="Times New Roman" w:eastAsiaTheme="minorEastAsia" w:hAnsi="Times New Roman" w:cs="Times New Roman"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05521E4"/>
    <w:multiLevelType w:val="hybridMultilevel"/>
    <w:tmpl w:val="682A9CD4"/>
    <w:lvl w:ilvl="0" w:tplc="002ACA4A">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0B901D4"/>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22E6F3B"/>
    <w:multiLevelType w:val="hybridMultilevel"/>
    <w:tmpl w:val="EF44C024"/>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54A179D2"/>
    <w:multiLevelType w:val="hybridMultilevel"/>
    <w:tmpl w:val="EE721182"/>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4AB7C37"/>
    <w:multiLevelType w:val="hybridMultilevel"/>
    <w:tmpl w:val="1E4C99BA"/>
    <w:lvl w:ilvl="0" w:tplc="6CEC2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551E18B4"/>
    <w:multiLevelType w:val="hybridMultilevel"/>
    <w:tmpl w:val="49466106"/>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5A86125"/>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55D46E70"/>
    <w:multiLevelType w:val="hybridMultilevel"/>
    <w:tmpl w:val="7514DBA2"/>
    <w:lvl w:ilvl="0" w:tplc="698450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65E0E6B"/>
    <w:multiLevelType w:val="hybridMultilevel"/>
    <w:tmpl w:val="2A847D64"/>
    <w:lvl w:ilvl="0" w:tplc="FD8A4940">
      <w:start w:val="1"/>
      <w:numFmt w:val="decimal"/>
      <w:lvlText w:val="(%1)"/>
      <w:lvlJc w:val="left"/>
      <w:pPr>
        <w:ind w:left="720" w:hanging="720"/>
      </w:pPr>
      <w:rPr>
        <w:rFonts w:ascii="Times New Roman" w:eastAsiaTheme="minorEastAsia" w:hAnsi="Times New Roman" w:cs="Times New Roman" w:hint="default"/>
        <w:strike w:val="0"/>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83A747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5A3B4735"/>
    <w:multiLevelType w:val="hybridMultilevel"/>
    <w:tmpl w:val="81784E22"/>
    <w:lvl w:ilvl="0" w:tplc="A42CD7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A566AAB"/>
    <w:multiLevelType w:val="hybridMultilevel"/>
    <w:tmpl w:val="1BFE5D34"/>
    <w:lvl w:ilvl="0" w:tplc="280497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5C347AD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D8F7C7E"/>
    <w:multiLevelType w:val="hybridMultilevel"/>
    <w:tmpl w:val="805AA584"/>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5DF559F6"/>
    <w:multiLevelType w:val="hybridMultilevel"/>
    <w:tmpl w:val="BC583720"/>
    <w:lvl w:ilvl="0" w:tplc="34202448">
      <w:start w:val="1"/>
      <w:numFmt w:val="decimal"/>
      <w:lvlText w:val="(%1)"/>
      <w:lvlJc w:val="left"/>
      <w:pPr>
        <w:ind w:left="720" w:hanging="720"/>
      </w:pPr>
      <w:rPr>
        <w:rFonts w:ascii="Times New Roman" w:eastAsiaTheme="minorEastAsia" w:hAnsi="Times New Roman" w:cs="Times New Roman"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FF57769"/>
    <w:multiLevelType w:val="hybridMultilevel"/>
    <w:tmpl w:val="74C8ACCE"/>
    <w:lvl w:ilvl="0" w:tplc="CA9AEEA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1026240"/>
    <w:multiLevelType w:val="hybridMultilevel"/>
    <w:tmpl w:val="669E2A0A"/>
    <w:lvl w:ilvl="0" w:tplc="254C18E2">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2AD4725"/>
    <w:multiLevelType w:val="hybridMultilevel"/>
    <w:tmpl w:val="42587658"/>
    <w:lvl w:ilvl="0" w:tplc="9EA4717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3032943"/>
    <w:multiLevelType w:val="hybridMultilevel"/>
    <w:tmpl w:val="2146EAAE"/>
    <w:lvl w:ilvl="0" w:tplc="DAE066C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3BA1191"/>
    <w:multiLevelType w:val="hybridMultilevel"/>
    <w:tmpl w:val="0986D06A"/>
    <w:lvl w:ilvl="0" w:tplc="E36C6AA2">
      <w:start w:val="1"/>
      <w:numFmt w:val="decimal"/>
      <w:lvlText w:val="(%1)"/>
      <w:lvlJc w:val="left"/>
      <w:pPr>
        <w:ind w:left="720" w:hanging="720"/>
      </w:pPr>
      <w:rPr>
        <w:rFonts w:asciiTheme="minorEastAsia" w:eastAsiaTheme="minorEastAsia" w:hAnsiTheme="minorEastAsia"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65A81EB8"/>
    <w:multiLevelType w:val="hybridMultilevel"/>
    <w:tmpl w:val="C9F8B402"/>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65F064DE"/>
    <w:multiLevelType w:val="hybridMultilevel"/>
    <w:tmpl w:val="582C0188"/>
    <w:lvl w:ilvl="0" w:tplc="1206E786">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65F7702F"/>
    <w:multiLevelType w:val="hybridMultilevel"/>
    <w:tmpl w:val="81784E22"/>
    <w:lvl w:ilvl="0" w:tplc="A42CD7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66690ABE"/>
    <w:multiLevelType w:val="hybridMultilevel"/>
    <w:tmpl w:val="4644FE10"/>
    <w:lvl w:ilvl="0" w:tplc="75C0E61E">
      <w:start w:val="1"/>
      <w:numFmt w:val="decimal"/>
      <w:lvlText w:val="(%1)"/>
      <w:lvlJc w:val="left"/>
      <w:pPr>
        <w:ind w:left="480" w:hanging="480"/>
      </w:pPr>
      <w:rPr>
        <w:rFonts w:asciiTheme="minorEastAsia" w:eastAsiaTheme="minorEastAsia" w:hAnsiTheme="minorEastAsia" w:hint="default"/>
      </w:rPr>
    </w:lvl>
    <w:lvl w:ilvl="1" w:tplc="635A0760">
      <w:start w:val="1"/>
      <w:numFmt w:val="decimal"/>
      <w:lvlText w:val="(%2)"/>
      <w:lvlJc w:val="left"/>
      <w:pPr>
        <w:ind w:left="960" w:hanging="480"/>
      </w:pPr>
      <w:rPr>
        <w:rFonts w:ascii="Times New Roman" w:eastAsiaTheme="minorEastAsia" w:hAnsi="Times New Roman" w:cs="Times New Roman" w:hint="default"/>
      </w:rPr>
    </w:lvl>
    <w:lvl w:ilvl="2" w:tplc="D0FAC756">
      <w:start w:val="1"/>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66B042E4"/>
    <w:multiLevelType w:val="hybridMultilevel"/>
    <w:tmpl w:val="ACEC6E7C"/>
    <w:lvl w:ilvl="0" w:tplc="1B0C1710">
      <w:start w:val="1"/>
      <w:numFmt w:val="upperLetter"/>
      <w:lvlText w:val="%1."/>
      <w:lvlJc w:val="left"/>
      <w:pPr>
        <w:ind w:left="480" w:hanging="480"/>
      </w:pPr>
      <w:rPr>
        <w:rFonts w:hint="eastAsia"/>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680430CC"/>
    <w:multiLevelType w:val="hybridMultilevel"/>
    <w:tmpl w:val="B7B299D0"/>
    <w:lvl w:ilvl="0" w:tplc="7B805290">
      <w:start w:val="1"/>
      <w:numFmt w:val="taiwaneseCountingThousand"/>
      <w:lvlText w:val="%1、"/>
      <w:lvlJc w:val="left"/>
      <w:pPr>
        <w:ind w:left="720" w:hanging="720"/>
      </w:pPr>
      <w:rPr>
        <w:rFonts w:ascii="Times New Roman"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6816675F"/>
    <w:multiLevelType w:val="hybridMultilevel"/>
    <w:tmpl w:val="0358BAB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68734822"/>
    <w:multiLevelType w:val="hybridMultilevel"/>
    <w:tmpl w:val="3B8CBFE6"/>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69082DF8"/>
    <w:multiLevelType w:val="hybridMultilevel"/>
    <w:tmpl w:val="28021784"/>
    <w:lvl w:ilvl="0" w:tplc="72E4FC0A">
      <w:start w:val="1"/>
      <w:numFmt w:val="decimal"/>
      <w:lvlText w:val="(%1)"/>
      <w:lvlJc w:val="left"/>
      <w:pPr>
        <w:ind w:left="720" w:hanging="720"/>
      </w:pPr>
      <w:rPr>
        <w:rFonts w:ascii="Times New Roman" w:eastAsiaTheme="minorEastAsia" w:hAnsi="Times New Roman" w:cs="Times New Roman"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69651B4B"/>
    <w:multiLevelType w:val="hybridMultilevel"/>
    <w:tmpl w:val="DA127E20"/>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6A516744"/>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6A700B65"/>
    <w:multiLevelType w:val="hybridMultilevel"/>
    <w:tmpl w:val="B3462F08"/>
    <w:lvl w:ilvl="0" w:tplc="8A344D9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BC76EFA"/>
    <w:multiLevelType w:val="hybridMultilevel"/>
    <w:tmpl w:val="387E8A12"/>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6C036C67"/>
    <w:multiLevelType w:val="hybridMultilevel"/>
    <w:tmpl w:val="23584450"/>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6C304403"/>
    <w:multiLevelType w:val="hybridMultilevel"/>
    <w:tmpl w:val="CE64923A"/>
    <w:lvl w:ilvl="0" w:tplc="04090013">
      <w:start w:val="1"/>
      <w:numFmt w:val="upperRoman"/>
      <w:lvlText w:val="%1."/>
      <w:lvlJc w:val="left"/>
      <w:pPr>
        <w:ind w:left="720" w:hanging="72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6D8548D3"/>
    <w:multiLevelType w:val="hybridMultilevel"/>
    <w:tmpl w:val="5C5A7CAE"/>
    <w:lvl w:ilvl="0" w:tplc="9E689636">
      <w:start w:val="1"/>
      <w:numFmt w:val="decimal"/>
      <w:lvlText w:val="（%1）"/>
      <w:lvlJc w:val="left"/>
      <w:pPr>
        <w:ind w:left="480" w:hanging="480"/>
      </w:pPr>
      <w:rPr>
        <w:rFonts w:hint="eastAsia"/>
        <w:strik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6DB57CC6"/>
    <w:multiLevelType w:val="hybridMultilevel"/>
    <w:tmpl w:val="B5D8A4B2"/>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E824903"/>
    <w:multiLevelType w:val="hybridMultilevel"/>
    <w:tmpl w:val="9788C0CA"/>
    <w:lvl w:ilvl="0" w:tplc="B3F09868">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6FE278CB"/>
    <w:multiLevelType w:val="hybridMultilevel"/>
    <w:tmpl w:val="20D4BA82"/>
    <w:lvl w:ilvl="0" w:tplc="B6402C4E">
      <w:start w:val="1"/>
      <w:numFmt w:val="decimal"/>
      <w:lvlText w:val="(%1)"/>
      <w:lvlJc w:val="left"/>
      <w:pPr>
        <w:ind w:left="450" w:hanging="45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715F2826"/>
    <w:multiLevelType w:val="hybridMultilevel"/>
    <w:tmpl w:val="F8EADE7C"/>
    <w:lvl w:ilvl="0" w:tplc="75C0E61E">
      <w:start w:val="1"/>
      <w:numFmt w:val="decimal"/>
      <w:lvlText w:val="(%1)"/>
      <w:lvlJc w:val="left"/>
      <w:pPr>
        <w:ind w:left="480" w:hanging="480"/>
      </w:pPr>
      <w:rPr>
        <w:rFonts w:asciiTheme="minorEastAsia" w:eastAsiaTheme="minorEastAsia" w:hAnsiTheme="minorEastAsia"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721D116A"/>
    <w:multiLevelType w:val="hybridMultilevel"/>
    <w:tmpl w:val="A07ADA4A"/>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729B6C97"/>
    <w:multiLevelType w:val="hybridMultilevel"/>
    <w:tmpl w:val="69787AD4"/>
    <w:lvl w:ilvl="0" w:tplc="B2307058">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730E41F2"/>
    <w:multiLevelType w:val="hybridMultilevel"/>
    <w:tmpl w:val="2440043E"/>
    <w:lvl w:ilvl="0" w:tplc="19BC7FAE">
      <w:start w:val="1"/>
      <w:numFmt w:val="decimal"/>
      <w:lvlText w:val="(%1)"/>
      <w:lvlJc w:val="left"/>
      <w:pPr>
        <w:ind w:left="720" w:hanging="720"/>
      </w:pPr>
      <w:rPr>
        <w:rFonts w:ascii="Times New Roman" w:eastAsiaTheme="minorEastAsia" w:hAnsi="Times New Roman" w:cs="Times New Roman" w:hint="default"/>
        <w:strike w:val="0"/>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731250ED"/>
    <w:multiLevelType w:val="hybridMultilevel"/>
    <w:tmpl w:val="32CC35C2"/>
    <w:lvl w:ilvl="0" w:tplc="D0388F92">
      <w:start w:val="1"/>
      <w:numFmt w:val="decimal"/>
      <w:lvlText w:val="(%1)"/>
      <w:lvlJc w:val="left"/>
      <w:pPr>
        <w:ind w:left="720" w:hanging="720"/>
      </w:pPr>
      <w:rPr>
        <w:rFonts w:ascii="Times New Roman" w:eastAsiaTheme="minorEastAsia" w:hAnsi="Times New Roman" w:cs="Times New Roman" w:hint="default"/>
        <w:color w:val="FF0000"/>
        <w:u w:val="single"/>
      </w:rPr>
    </w:lvl>
    <w:lvl w:ilvl="1" w:tplc="6E901928">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731B2739"/>
    <w:multiLevelType w:val="hybridMultilevel"/>
    <w:tmpl w:val="852AFEC8"/>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747D432C"/>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7570081B"/>
    <w:multiLevelType w:val="hybridMultilevel"/>
    <w:tmpl w:val="B20E776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769E57A1"/>
    <w:multiLevelType w:val="hybridMultilevel"/>
    <w:tmpl w:val="4BBCD70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77B7713C"/>
    <w:multiLevelType w:val="hybridMultilevel"/>
    <w:tmpl w:val="B9740CA0"/>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79E81091"/>
    <w:multiLevelType w:val="hybridMultilevel"/>
    <w:tmpl w:val="E0B060B0"/>
    <w:lvl w:ilvl="0" w:tplc="970AE4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7A392CFF"/>
    <w:multiLevelType w:val="hybridMultilevel"/>
    <w:tmpl w:val="04103F72"/>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7A8F03F5"/>
    <w:multiLevelType w:val="hybridMultilevel"/>
    <w:tmpl w:val="67267B38"/>
    <w:lvl w:ilvl="0" w:tplc="AB30E898">
      <w:start w:val="1"/>
      <w:numFmt w:val="decimal"/>
      <w:lvlText w:val="(%1)"/>
      <w:lvlJc w:val="left"/>
      <w:pPr>
        <w:ind w:left="734" w:hanging="720"/>
      </w:pPr>
      <w:rPr>
        <w:rFonts w:asciiTheme="minorEastAsia" w:eastAsiaTheme="minorEastAsia" w:hAnsiTheme="minorEastAsia" w:hint="default"/>
        <w:color w:val="auto"/>
        <w:u w:val="none"/>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30" w15:restartNumberingAfterBreak="0">
    <w:nsid w:val="7B06630A"/>
    <w:multiLevelType w:val="hybridMultilevel"/>
    <w:tmpl w:val="976EF9A6"/>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7C9369AB"/>
    <w:multiLevelType w:val="hybridMultilevel"/>
    <w:tmpl w:val="D9681EEA"/>
    <w:lvl w:ilvl="0" w:tplc="7D12860C">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7E671550"/>
    <w:multiLevelType w:val="hybridMultilevel"/>
    <w:tmpl w:val="AD9E0788"/>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7EA37B14"/>
    <w:multiLevelType w:val="hybridMultilevel"/>
    <w:tmpl w:val="A18640CA"/>
    <w:lvl w:ilvl="0" w:tplc="5CF6A8E4">
      <w:start w:val="1"/>
      <w:numFmt w:val="decimal"/>
      <w:lvlText w:val="(%1)"/>
      <w:lvlJc w:val="left"/>
      <w:pPr>
        <w:ind w:left="734" w:hanging="72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34" w15:restartNumberingAfterBreak="0">
    <w:nsid w:val="7ECB04D1"/>
    <w:multiLevelType w:val="hybridMultilevel"/>
    <w:tmpl w:val="17F2E160"/>
    <w:lvl w:ilvl="0" w:tplc="9FE49AD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7F0825C2"/>
    <w:multiLevelType w:val="hybridMultilevel"/>
    <w:tmpl w:val="B740AF78"/>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7F4B3973"/>
    <w:multiLevelType w:val="hybridMultilevel"/>
    <w:tmpl w:val="20D4BA82"/>
    <w:lvl w:ilvl="0" w:tplc="B6402C4E">
      <w:start w:val="1"/>
      <w:numFmt w:val="decimal"/>
      <w:lvlText w:val="(%1)"/>
      <w:lvlJc w:val="left"/>
      <w:pPr>
        <w:ind w:left="450" w:hanging="45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48"/>
  </w:num>
  <w:num w:numId="3">
    <w:abstractNumId w:val="50"/>
  </w:num>
  <w:num w:numId="4">
    <w:abstractNumId w:val="71"/>
  </w:num>
  <w:num w:numId="5">
    <w:abstractNumId w:val="26"/>
  </w:num>
  <w:num w:numId="6">
    <w:abstractNumId w:val="94"/>
  </w:num>
  <w:num w:numId="7">
    <w:abstractNumId w:val="129"/>
  </w:num>
  <w:num w:numId="8">
    <w:abstractNumId w:val="25"/>
  </w:num>
  <w:num w:numId="9">
    <w:abstractNumId w:val="136"/>
  </w:num>
  <w:num w:numId="10">
    <w:abstractNumId w:val="13"/>
  </w:num>
  <w:num w:numId="11">
    <w:abstractNumId w:val="44"/>
  </w:num>
  <w:num w:numId="12">
    <w:abstractNumId w:val="121"/>
  </w:num>
  <w:num w:numId="13">
    <w:abstractNumId w:val="78"/>
  </w:num>
  <w:num w:numId="14">
    <w:abstractNumId w:val="102"/>
  </w:num>
  <w:num w:numId="15">
    <w:abstractNumId w:val="54"/>
  </w:num>
  <w:num w:numId="16">
    <w:abstractNumId w:val="96"/>
  </w:num>
  <w:num w:numId="17">
    <w:abstractNumId w:val="16"/>
  </w:num>
  <w:num w:numId="18">
    <w:abstractNumId w:val="93"/>
  </w:num>
  <w:num w:numId="19">
    <w:abstractNumId w:val="131"/>
  </w:num>
  <w:num w:numId="20">
    <w:abstractNumId w:val="123"/>
  </w:num>
  <w:num w:numId="21">
    <w:abstractNumId w:val="108"/>
  </w:num>
  <w:num w:numId="22">
    <w:abstractNumId w:val="75"/>
  </w:num>
  <w:num w:numId="23">
    <w:abstractNumId w:val="97"/>
  </w:num>
  <w:num w:numId="24">
    <w:abstractNumId w:val="49"/>
  </w:num>
  <w:num w:numId="25">
    <w:abstractNumId w:val="24"/>
  </w:num>
  <w:num w:numId="26">
    <w:abstractNumId w:val="85"/>
  </w:num>
  <w:num w:numId="27">
    <w:abstractNumId w:val="86"/>
  </w:num>
  <w:num w:numId="28">
    <w:abstractNumId w:val="92"/>
  </w:num>
  <w:num w:numId="29">
    <w:abstractNumId w:val="17"/>
  </w:num>
  <w:num w:numId="30">
    <w:abstractNumId w:val="1"/>
  </w:num>
  <w:num w:numId="31">
    <w:abstractNumId w:val="77"/>
  </w:num>
  <w:num w:numId="32">
    <w:abstractNumId w:val="20"/>
  </w:num>
  <w:num w:numId="33">
    <w:abstractNumId w:val="88"/>
  </w:num>
  <w:num w:numId="34">
    <w:abstractNumId w:val="0"/>
  </w:num>
  <w:num w:numId="35">
    <w:abstractNumId w:val="100"/>
  </w:num>
  <w:num w:numId="36">
    <w:abstractNumId w:val="30"/>
  </w:num>
  <w:num w:numId="37">
    <w:abstractNumId w:val="74"/>
  </w:num>
  <w:num w:numId="38">
    <w:abstractNumId w:val="91"/>
  </w:num>
  <w:num w:numId="39">
    <w:abstractNumId w:val="66"/>
  </w:num>
  <w:num w:numId="40">
    <w:abstractNumId w:val="67"/>
  </w:num>
  <w:num w:numId="41">
    <w:abstractNumId w:val="46"/>
  </w:num>
  <w:num w:numId="42">
    <w:abstractNumId w:val="90"/>
  </w:num>
  <w:num w:numId="43">
    <w:abstractNumId w:val="84"/>
  </w:num>
  <w:num w:numId="44">
    <w:abstractNumId w:val="12"/>
  </w:num>
  <w:num w:numId="45">
    <w:abstractNumId w:val="62"/>
  </w:num>
  <w:num w:numId="46">
    <w:abstractNumId w:val="103"/>
  </w:num>
  <w:num w:numId="47">
    <w:abstractNumId w:val="112"/>
  </w:num>
  <w:num w:numId="48">
    <w:abstractNumId w:val="40"/>
  </w:num>
  <w:num w:numId="49">
    <w:abstractNumId w:val="76"/>
  </w:num>
  <w:num w:numId="50">
    <w:abstractNumId w:val="107"/>
  </w:num>
  <w:num w:numId="51">
    <w:abstractNumId w:val="53"/>
  </w:num>
  <w:num w:numId="52">
    <w:abstractNumId w:val="6"/>
  </w:num>
  <w:num w:numId="53">
    <w:abstractNumId w:val="23"/>
  </w:num>
  <w:num w:numId="54">
    <w:abstractNumId w:val="95"/>
  </w:num>
  <w:num w:numId="55">
    <w:abstractNumId w:val="27"/>
  </w:num>
  <w:num w:numId="56">
    <w:abstractNumId w:val="89"/>
  </w:num>
  <w:num w:numId="57">
    <w:abstractNumId w:val="14"/>
  </w:num>
  <w:num w:numId="58">
    <w:abstractNumId w:val="45"/>
  </w:num>
  <w:num w:numId="59">
    <w:abstractNumId w:val="41"/>
  </w:num>
  <w:num w:numId="60">
    <w:abstractNumId w:val="43"/>
  </w:num>
  <w:num w:numId="61">
    <w:abstractNumId w:val="109"/>
  </w:num>
  <w:num w:numId="62">
    <w:abstractNumId w:val="124"/>
  </w:num>
  <w:num w:numId="63">
    <w:abstractNumId w:val="111"/>
  </w:num>
  <w:num w:numId="64">
    <w:abstractNumId w:val="9"/>
  </w:num>
  <w:num w:numId="65">
    <w:abstractNumId w:val="38"/>
  </w:num>
  <w:num w:numId="66">
    <w:abstractNumId w:val="15"/>
  </w:num>
  <w:num w:numId="67">
    <w:abstractNumId w:val="127"/>
  </w:num>
  <w:num w:numId="68">
    <w:abstractNumId w:val="59"/>
  </w:num>
  <w:num w:numId="69">
    <w:abstractNumId w:val="116"/>
  </w:num>
  <w:num w:numId="70">
    <w:abstractNumId w:val="79"/>
  </w:num>
  <w:num w:numId="71">
    <w:abstractNumId w:val="73"/>
  </w:num>
  <w:num w:numId="72">
    <w:abstractNumId w:val="7"/>
  </w:num>
  <w:num w:numId="73">
    <w:abstractNumId w:val="32"/>
  </w:num>
  <w:num w:numId="74">
    <w:abstractNumId w:val="22"/>
  </w:num>
  <w:num w:numId="75">
    <w:abstractNumId w:val="133"/>
  </w:num>
  <w:num w:numId="76">
    <w:abstractNumId w:val="3"/>
  </w:num>
  <w:num w:numId="77">
    <w:abstractNumId w:val="18"/>
  </w:num>
  <w:num w:numId="78">
    <w:abstractNumId w:val="82"/>
  </w:num>
  <w:num w:numId="79">
    <w:abstractNumId w:val="72"/>
  </w:num>
  <w:num w:numId="80">
    <w:abstractNumId w:val="28"/>
  </w:num>
  <w:num w:numId="81">
    <w:abstractNumId w:val="11"/>
  </w:num>
  <w:num w:numId="82">
    <w:abstractNumId w:val="87"/>
  </w:num>
  <w:num w:numId="83">
    <w:abstractNumId w:val="61"/>
  </w:num>
  <w:num w:numId="84">
    <w:abstractNumId w:val="29"/>
  </w:num>
  <w:num w:numId="85">
    <w:abstractNumId w:val="58"/>
  </w:num>
  <w:num w:numId="86">
    <w:abstractNumId w:val="101"/>
  </w:num>
  <w:num w:numId="87">
    <w:abstractNumId w:val="115"/>
  </w:num>
  <w:num w:numId="88">
    <w:abstractNumId w:val="119"/>
  </w:num>
  <w:num w:numId="89">
    <w:abstractNumId w:val="99"/>
  </w:num>
  <w:num w:numId="90">
    <w:abstractNumId w:val="65"/>
  </w:num>
  <w:num w:numId="91">
    <w:abstractNumId w:val="57"/>
  </w:num>
  <w:num w:numId="92">
    <w:abstractNumId w:val="117"/>
  </w:num>
  <w:num w:numId="93">
    <w:abstractNumId w:val="64"/>
  </w:num>
  <w:num w:numId="94">
    <w:abstractNumId w:val="21"/>
  </w:num>
  <w:num w:numId="95">
    <w:abstractNumId w:val="70"/>
  </w:num>
  <w:num w:numId="96">
    <w:abstractNumId w:val="134"/>
  </w:num>
  <w:num w:numId="97">
    <w:abstractNumId w:val="37"/>
  </w:num>
  <w:num w:numId="98">
    <w:abstractNumId w:val="52"/>
  </w:num>
  <w:num w:numId="99">
    <w:abstractNumId w:val="34"/>
  </w:num>
  <w:num w:numId="100">
    <w:abstractNumId w:val="113"/>
  </w:num>
  <w:num w:numId="101">
    <w:abstractNumId w:val="31"/>
  </w:num>
  <w:num w:numId="102">
    <w:abstractNumId w:val="5"/>
  </w:num>
  <w:num w:numId="103">
    <w:abstractNumId w:val="60"/>
  </w:num>
  <w:num w:numId="104">
    <w:abstractNumId w:val="120"/>
  </w:num>
  <w:num w:numId="105">
    <w:abstractNumId w:val="106"/>
  </w:num>
  <w:num w:numId="106">
    <w:abstractNumId w:val="47"/>
  </w:num>
  <w:num w:numId="107">
    <w:abstractNumId w:val="51"/>
  </w:num>
  <w:num w:numId="108">
    <w:abstractNumId w:val="33"/>
  </w:num>
  <w:num w:numId="109">
    <w:abstractNumId w:val="56"/>
  </w:num>
  <w:num w:numId="110">
    <w:abstractNumId w:val="55"/>
  </w:num>
  <w:num w:numId="111">
    <w:abstractNumId w:val="126"/>
  </w:num>
  <w:num w:numId="112">
    <w:abstractNumId w:val="118"/>
  </w:num>
  <w:num w:numId="113">
    <w:abstractNumId w:val="110"/>
  </w:num>
  <w:num w:numId="114">
    <w:abstractNumId w:val="80"/>
  </w:num>
  <w:num w:numId="115">
    <w:abstractNumId w:val="4"/>
  </w:num>
  <w:num w:numId="116">
    <w:abstractNumId w:val="69"/>
  </w:num>
  <w:num w:numId="117">
    <w:abstractNumId w:val="42"/>
  </w:num>
  <w:num w:numId="118">
    <w:abstractNumId w:val="98"/>
  </w:num>
  <w:num w:numId="119">
    <w:abstractNumId w:val="83"/>
  </w:num>
  <w:num w:numId="120">
    <w:abstractNumId w:val="132"/>
  </w:num>
  <w:num w:numId="121">
    <w:abstractNumId w:val="19"/>
  </w:num>
  <w:num w:numId="122">
    <w:abstractNumId w:val="105"/>
  </w:num>
  <w:num w:numId="123">
    <w:abstractNumId w:val="114"/>
  </w:num>
  <w:num w:numId="124">
    <w:abstractNumId w:val="63"/>
  </w:num>
  <w:num w:numId="125">
    <w:abstractNumId w:val="8"/>
  </w:num>
  <w:num w:numId="126">
    <w:abstractNumId w:val="130"/>
  </w:num>
  <w:num w:numId="127">
    <w:abstractNumId w:val="125"/>
  </w:num>
  <w:num w:numId="128">
    <w:abstractNumId w:val="128"/>
  </w:num>
  <w:num w:numId="129">
    <w:abstractNumId w:val="2"/>
  </w:num>
  <w:num w:numId="130">
    <w:abstractNumId w:val="104"/>
  </w:num>
  <w:num w:numId="131">
    <w:abstractNumId w:val="68"/>
  </w:num>
  <w:num w:numId="132">
    <w:abstractNumId w:val="81"/>
  </w:num>
  <w:num w:numId="133">
    <w:abstractNumId w:val="122"/>
  </w:num>
  <w:num w:numId="134">
    <w:abstractNumId w:val="135"/>
  </w:num>
  <w:num w:numId="135">
    <w:abstractNumId w:val="35"/>
  </w:num>
  <w:num w:numId="136">
    <w:abstractNumId w:val="36"/>
  </w:num>
  <w:num w:numId="137">
    <w:abstractNumId w:val="39"/>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2DF"/>
    <w:rsid w:val="00000609"/>
    <w:rsid w:val="00000839"/>
    <w:rsid w:val="00000896"/>
    <w:rsid w:val="000009E6"/>
    <w:rsid w:val="00004AEE"/>
    <w:rsid w:val="00006E60"/>
    <w:rsid w:val="000122F0"/>
    <w:rsid w:val="00014B7F"/>
    <w:rsid w:val="00015903"/>
    <w:rsid w:val="00015E89"/>
    <w:rsid w:val="0002051D"/>
    <w:rsid w:val="00022CED"/>
    <w:rsid w:val="00022E75"/>
    <w:rsid w:val="00023027"/>
    <w:rsid w:val="00023E98"/>
    <w:rsid w:val="00027396"/>
    <w:rsid w:val="0003210B"/>
    <w:rsid w:val="00034A7C"/>
    <w:rsid w:val="00034A98"/>
    <w:rsid w:val="0004173B"/>
    <w:rsid w:val="00041EC8"/>
    <w:rsid w:val="00042005"/>
    <w:rsid w:val="00050ECE"/>
    <w:rsid w:val="00052A33"/>
    <w:rsid w:val="000531E2"/>
    <w:rsid w:val="000554A0"/>
    <w:rsid w:val="00056E52"/>
    <w:rsid w:val="00060ABD"/>
    <w:rsid w:val="00060D98"/>
    <w:rsid w:val="00061C29"/>
    <w:rsid w:val="00061E5B"/>
    <w:rsid w:val="00062EB9"/>
    <w:rsid w:val="00062F99"/>
    <w:rsid w:val="0006365F"/>
    <w:rsid w:val="00063A65"/>
    <w:rsid w:val="00064D56"/>
    <w:rsid w:val="0006742E"/>
    <w:rsid w:val="00070761"/>
    <w:rsid w:val="00070B68"/>
    <w:rsid w:val="00071191"/>
    <w:rsid w:val="00071543"/>
    <w:rsid w:val="00071A3F"/>
    <w:rsid w:val="00073DD4"/>
    <w:rsid w:val="000743D3"/>
    <w:rsid w:val="000767E0"/>
    <w:rsid w:val="00077005"/>
    <w:rsid w:val="00080402"/>
    <w:rsid w:val="00083DF1"/>
    <w:rsid w:val="000840C1"/>
    <w:rsid w:val="000845AC"/>
    <w:rsid w:val="000851F6"/>
    <w:rsid w:val="0008702C"/>
    <w:rsid w:val="00090F8F"/>
    <w:rsid w:val="00093270"/>
    <w:rsid w:val="0009502C"/>
    <w:rsid w:val="0009556F"/>
    <w:rsid w:val="0009668C"/>
    <w:rsid w:val="00097531"/>
    <w:rsid w:val="000A0177"/>
    <w:rsid w:val="000A12F9"/>
    <w:rsid w:val="000A5C5F"/>
    <w:rsid w:val="000A6635"/>
    <w:rsid w:val="000A665E"/>
    <w:rsid w:val="000A766D"/>
    <w:rsid w:val="000B0FBB"/>
    <w:rsid w:val="000B22C5"/>
    <w:rsid w:val="000B2A6D"/>
    <w:rsid w:val="000B6AF4"/>
    <w:rsid w:val="000C1F0F"/>
    <w:rsid w:val="000C39B2"/>
    <w:rsid w:val="000C4B1C"/>
    <w:rsid w:val="000C50C1"/>
    <w:rsid w:val="000C64CD"/>
    <w:rsid w:val="000C6882"/>
    <w:rsid w:val="000C6AE5"/>
    <w:rsid w:val="000C6B14"/>
    <w:rsid w:val="000C6BE0"/>
    <w:rsid w:val="000D0378"/>
    <w:rsid w:val="000D0DA3"/>
    <w:rsid w:val="000D1786"/>
    <w:rsid w:val="000D1F61"/>
    <w:rsid w:val="000D309C"/>
    <w:rsid w:val="000D517F"/>
    <w:rsid w:val="000D5852"/>
    <w:rsid w:val="000D5FFA"/>
    <w:rsid w:val="000D63A6"/>
    <w:rsid w:val="000D69E4"/>
    <w:rsid w:val="000D6B86"/>
    <w:rsid w:val="000D6C41"/>
    <w:rsid w:val="000D76A7"/>
    <w:rsid w:val="000E0813"/>
    <w:rsid w:val="000E1108"/>
    <w:rsid w:val="000E1D4C"/>
    <w:rsid w:val="000E2274"/>
    <w:rsid w:val="000E2D2F"/>
    <w:rsid w:val="000E4A79"/>
    <w:rsid w:val="000E4DD4"/>
    <w:rsid w:val="000E57BC"/>
    <w:rsid w:val="000E6ECB"/>
    <w:rsid w:val="000E7833"/>
    <w:rsid w:val="000F1323"/>
    <w:rsid w:val="000F20C5"/>
    <w:rsid w:val="000F37B4"/>
    <w:rsid w:val="000F50DF"/>
    <w:rsid w:val="000F546F"/>
    <w:rsid w:val="0010138C"/>
    <w:rsid w:val="00101FB9"/>
    <w:rsid w:val="001020E1"/>
    <w:rsid w:val="00102370"/>
    <w:rsid w:val="00102838"/>
    <w:rsid w:val="001043D8"/>
    <w:rsid w:val="00104E10"/>
    <w:rsid w:val="001079AD"/>
    <w:rsid w:val="00110357"/>
    <w:rsid w:val="00110948"/>
    <w:rsid w:val="001113CB"/>
    <w:rsid w:val="00112CE5"/>
    <w:rsid w:val="001135F9"/>
    <w:rsid w:val="00116531"/>
    <w:rsid w:val="0012005A"/>
    <w:rsid w:val="00124A06"/>
    <w:rsid w:val="001250C2"/>
    <w:rsid w:val="00126024"/>
    <w:rsid w:val="00127042"/>
    <w:rsid w:val="00127994"/>
    <w:rsid w:val="0013016E"/>
    <w:rsid w:val="00135650"/>
    <w:rsid w:val="00136D1E"/>
    <w:rsid w:val="00137731"/>
    <w:rsid w:val="00137D4E"/>
    <w:rsid w:val="00137E3E"/>
    <w:rsid w:val="001401CD"/>
    <w:rsid w:val="001403C2"/>
    <w:rsid w:val="001406C7"/>
    <w:rsid w:val="001419F2"/>
    <w:rsid w:val="00142AE5"/>
    <w:rsid w:val="001430F1"/>
    <w:rsid w:val="001464AB"/>
    <w:rsid w:val="00150748"/>
    <w:rsid w:val="001514F4"/>
    <w:rsid w:val="001519F5"/>
    <w:rsid w:val="00151F29"/>
    <w:rsid w:val="0015331F"/>
    <w:rsid w:val="001538E4"/>
    <w:rsid w:val="00155162"/>
    <w:rsid w:val="0015540A"/>
    <w:rsid w:val="00155D49"/>
    <w:rsid w:val="00155F87"/>
    <w:rsid w:val="00156632"/>
    <w:rsid w:val="001567CE"/>
    <w:rsid w:val="00156D4E"/>
    <w:rsid w:val="0016397A"/>
    <w:rsid w:val="00163A9D"/>
    <w:rsid w:val="001640FF"/>
    <w:rsid w:val="001666F5"/>
    <w:rsid w:val="00166D53"/>
    <w:rsid w:val="00167007"/>
    <w:rsid w:val="00167181"/>
    <w:rsid w:val="00170F7B"/>
    <w:rsid w:val="00172D2B"/>
    <w:rsid w:val="00172DE4"/>
    <w:rsid w:val="001758F1"/>
    <w:rsid w:val="00176600"/>
    <w:rsid w:val="00176DFA"/>
    <w:rsid w:val="001800E0"/>
    <w:rsid w:val="00180248"/>
    <w:rsid w:val="001814F1"/>
    <w:rsid w:val="00182F23"/>
    <w:rsid w:val="00184B9C"/>
    <w:rsid w:val="00185D9E"/>
    <w:rsid w:val="00186652"/>
    <w:rsid w:val="001908E0"/>
    <w:rsid w:val="00191461"/>
    <w:rsid w:val="00192D9C"/>
    <w:rsid w:val="00194700"/>
    <w:rsid w:val="001948CF"/>
    <w:rsid w:val="0019507A"/>
    <w:rsid w:val="00197560"/>
    <w:rsid w:val="001A04EF"/>
    <w:rsid w:val="001A0CFD"/>
    <w:rsid w:val="001A2A1B"/>
    <w:rsid w:val="001A53D4"/>
    <w:rsid w:val="001A6BAD"/>
    <w:rsid w:val="001A74A9"/>
    <w:rsid w:val="001B0B7F"/>
    <w:rsid w:val="001B0EEB"/>
    <w:rsid w:val="001B1B9D"/>
    <w:rsid w:val="001B2437"/>
    <w:rsid w:val="001C0DE9"/>
    <w:rsid w:val="001C2100"/>
    <w:rsid w:val="001C32B9"/>
    <w:rsid w:val="001C5BEF"/>
    <w:rsid w:val="001C6E14"/>
    <w:rsid w:val="001C7FB0"/>
    <w:rsid w:val="001D0417"/>
    <w:rsid w:val="001D0BD1"/>
    <w:rsid w:val="001D19CE"/>
    <w:rsid w:val="001D2609"/>
    <w:rsid w:val="001D3B51"/>
    <w:rsid w:val="001D4442"/>
    <w:rsid w:val="001D4A6E"/>
    <w:rsid w:val="001D4D63"/>
    <w:rsid w:val="001D55E6"/>
    <w:rsid w:val="001D6C77"/>
    <w:rsid w:val="001D70E8"/>
    <w:rsid w:val="001E04BE"/>
    <w:rsid w:val="001E376E"/>
    <w:rsid w:val="001E3BBC"/>
    <w:rsid w:val="001E447F"/>
    <w:rsid w:val="001E59DF"/>
    <w:rsid w:val="001E7452"/>
    <w:rsid w:val="001F1889"/>
    <w:rsid w:val="001F5114"/>
    <w:rsid w:val="001F6244"/>
    <w:rsid w:val="001F776D"/>
    <w:rsid w:val="0020175F"/>
    <w:rsid w:val="00201D4F"/>
    <w:rsid w:val="0020235E"/>
    <w:rsid w:val="00202B19"/>
    <w:rsid w:val="0020386E"/>
    <w:rsid w:val="0020412E"/>
    <w:rsid w:val="00207279"/>
    <w:rsid w:val="002077C2"/>
    <w:rsid w:val="00207D15"/>
    <w:rsid w:val="0021045A"/>
    <w:rsid w:val="00213280"/>
    <w:rsid w:val="0021373C"/>
    <w:rsid w:val="00213F86"/>
    <w:rsid w:val="00217841"/>
    <w:rsid w:val="00221232"/>
    <w:rsid w:val="00221588"/>
    <w:rsid w:val="00223475"/>
    <w:rsid w:val="00224F79"/>
    <w:rsid w:val="0022631C"/>
    <w:rsid w:val="002310EB"/>
    <w:rsid w:val="00231A07"/>
    <w:rsid w:val="00232174"/>
    <w:rsid w:val="00232EDF"/>
    <w:rsid w:val="00232FF1"/>
    <w:rsid w:val="00233D57"/>
    <w:rsid w:val="00234510"/>
    <w:rsid w:val="00236528"/>
    <w:rsid w:val="00240155"/>
    <w:rsid w:val="00240ED9"/>
    <w:rsid w:val="00242784"/>
    <w:rsid w:val="002432CA"/>
    <w:rsid w:val="002506BB"/>
    <w:rsid w:val="00250A43"/>
    <w:rsid w:val="00250CAE"/>
    <w:rsid w:val="002510A9"/>
    <w:rsid w:val="002523F7"/>
    <w:rsid w:val="00260DB7"/>
    <w:rsid w:val="0026113B"/>
    <w:rsid w:val="00261A6F"/>
    <w:rsid w:val="00262987"/>
    <w:rsid w:val="00262F8E"/>
    <w:rsid w:val="00264137"/>
    <w:rsid w:val="00264FA0"/>
    <w:rsid w:val="00267D1B"/>
    <w:rsid w:val="00270E48"/>
    <w:rsid w:val="0027552A"/>
    <w:rsid w:val="0027707A"/>
    <w:rsid w:val="0028139F"/>
    <w:rsid w:val="0028227A"/>
    <w:rsid w:val="00282F1A"/>
    <w:rsid w:val="002843D1"/>
    <w:rsid w:val="002867DD"/>
    <w:rsid w:val="00286857"/>
    <w:rsid w:val="00286C6A"/>
    <w:rsid w:val="002902CD"/>
    <w:rsid w:val="002909F3"/>
    <w:rsid w:val="00293A9B"/>
    <w:rsid w:val="00295D6D"/>
    <w:rsid w:val="002A06B3"/>
    <w:rsid w:val="002A1072"/>
    <w:rsid w:val="002A29AC"/>
    <w:rsid w:val="002A396D"/>
    <w:rsid w:val="002A3ADD"/>
    <w:rsid w:val="002A5D48"/>
    <w:rsid w:val="002A6C88"/>
    <w:rsid w:val="002B13A6"/>
    <w:rsid w:val="002B2716"/>
    <w:rsid w:val="002B2733"/>
    <w:rsid w:val="002B2811"/>
    <w:rsid w:val="002B4226"/>
    <w:rsid w:val="002B4E7A"/>
    <w:rsid w:val="002B7AA1"/>
    <w:rsid w:val="002B7E9D"/>
    <w:rsid w:val="002C415B"/>
    <w:rsid w:val="002C4A0F"/>
    <w:rsid w:val="002C5152"/>
    <w:rsid w:val="002C5643"/>
    <w:rsid w:val="002C74F4"/>
    <w:rsid w:val="002D0ACB"/>
    <w:rsid w:val="002D137E"/>
    <w:rsid w:val="002D21CC"/>
    <w:rsid w:val="002D221C"/>
    <w:rsid w:val="002D275D"/>
    <w:rsid w:val="002D3615"/>
    <w:rsid w:val="002D3C2D"/>
    <w:rsid w:val="002D3C83"/>
    <w:rsid w:val="002D4480"/>
    <w:rsid w:val="002D4DD8"/>
    <w:rsid w:val="002D7B76"/>
    <w:rsid w:val="002E013C"/>
    <w:rsid w:val="002E0F18"/>
    <w:rsid w:val="002E1251"/>
    <w:rsid w:val="002E137E"/>
    <w:rsid w:val="002E1AFF"/>
    <w:rsid w:val="002E2216"/>
    <w:rsid w:val="002E69F6"/>
    <w:rsid w:val="002E787C"/>
    <w:rsid w:val="002F0B37"/>
    <w:rsid w:val="002F2B32"/>
    <w:rsid w:val="002F33FA"/>
    <w:rsid w:val="002F63FF"/>
    <w:rsid w:val="003008CC"/>
    <w:rsid w:val="00302CD6"/>
    <w:rsid w:val="003030AA"/>
    <w:rsid w:val="00304DFC"/>
    <w:rsid w:val="00305836"/>
    <w:rsid w:val="00306508"/>
    <w:rsid w:val="00307346"/>
    <w:rsid w:val="00307F36"/>
    <w:rsid w:val="00310803"/>
    <w:rsid w:val="003112DC"/>
    <w:rsid w:val="00311804"/>
    <w:rsid w:val="00311D4D"/>
    <w:rsid w:val="00312FD1"/>
    <w:rsid w:val="003167BE"/>
    <w:rsid w:val="00316D65"/>
    <w:rsid w:val="003173DE"/>
    <w:rsid w:val="00321565"/>
    <w:rsid w:val="00323409"/>
    <w:rsid w:val="003238E0"/>
    <w:rsid w:val="0032473F"/>
    <w:rsid w:val="00324CF8"/>
    <w:rsid w:val="00325009"/>
    <w:rsid w:val="0032528F"/>
    <w:rsid w:val="003265CE"/>
    <w:rsid w:val="00327DE9"/>
    <w:rsid w:val="0033220D"/>
    <w:rsid w:val="0033221F"/>
    <w:rsid w:val="00332D8A"/>
    <w:rsid w:val="00334646"/>
    <w:rsid w:val="00334932"/>
    <w:rsid w:val="00335717"/>
    <w:rsid w:val="00335AF8"/>
    <w:rsid w:val="00340837"/>
    <w:rsid w:val="003411BC"/>
    <w:rsid w:val="00341E43"/>
    <w:rsid w:val="00343DC0"/>
    <w:rsid w:val="00346377"/>
    <w:rsid w:val="00351DCC"/>
    <w:rsid w:val="00352471"/>
    <w:rsid w:val="003540A1"/>
    <w:rsid w:val="003547A6"/>
    <w:rsid w:val="0035596B"/>
    <w:rsid w:val="00356196"/>
    <w:rsid w:val="003564D5"/>
    <w:rsid w:val="00356F8E"/>
    <w:rsid w:val="00357337"/>
    <w:rsid w:val="00361E88"/>
    <w:rsid w:val="003624B2"/>
    <w:rsid w:val="00363457"/>
    <w:rsid w:val="00371341"/>
    <w:rsid w:val="003714EB"/>
    <w:rsid w:val="00372719"/>
    <w:rsid w:val="00372841"/>
    <w:rsid w:val="00372D3C"/>
    <w:rsid w:val="0037386C"/>
    <w:rsid w:val="00374145"/>
    <w:rsid w:val="00374218"/>
    <w:rsid w:val="00374429"/>
    <w:rsid w:val="00374861"/>
    <w:rsid w:val="00376972"/>
    <w:rsid w:val="003801E4"/>
    <w:rsid w:val="0038141A"/>
    <w:rsid w:val="00381B18"/>
    <w:rsid w:val="003820CA"/>
    <w:rsid w:val="003823EA"/>
    <w:rsid w:val="0038345E"/>
    <w:rsid w:val="00383BEB"/>
    <w:rsid w:val="00384C1C"/>
    <w:rsid w:val="003856FA"/>
    <w:rsid w:val="00390147"/>
    <w:rsid w:val="00390458"/>
    <w:rsid w:val="003907E5"/>
    <w:rsid w:val="00390BAF"/>
    <w:rsid w:val="00390FF7"/>
    <w:rsid w:val="00391108"/>
    <w:rsid w:val="00391FC9"/>
    <w:rsid w:val="003925F4"/>
    <w:rsid w:val="00392ECA"/>
    <w:rsid w:val="003976BD"/>
    <w:rsid w:val="0039799F"/>
    <w:rsid w:val="003A3249"/>
    <w:rsid w:val="003A437F"/>
    <w:rsid w:val="003A656A"/>
    <w:rsid w:val="003B096A"/>
    <w:rsid w:val="003B19E2"/>
    <w:rsid w:val="003B2494"/>
    <w:rsid w:val="003B2702"/>
    <w:rsid w:val="003B2B20"/>
    <w:rsid w:val="003B576A"/>
    <w:rsid w:val="003B57AD"/>
    <w:rsid w:val="003C0A92"/>
    <w:rsid w:val="003C26EC"/>
    <w:rsid w:val="003C56CA"/>
    <w:rsid w:val="003C6449"/>
    <w:rsid w:val="003D0388"/>
    <w:rsid w:val="003D0536"/>
    <w:rsid w:val="003D1DE2"/>
    <w:rsid w:val="003D22BB"/>
    <w:rsid w:val="003D3F3A"/>
    <w:rsid w:val="003D489B"/>
    <w:rsid w:val="003D4BE9"/>
    <w:rsid w:val="003D4E4E"/>
    <w:rsid w:val="003D543D"/>
    <w:rsid w:val="003D56FB"/>
    <w:rsid w:val="003D5825"/>
    <w:rsid w:val="003E0F37"/>
    <w:rsid w:val="003E27E2"/>
    <w:rsid w:val="003E3620"/>
    <w:rsid w:val="003E398D"/>
    <w:rsid w:val="003E3D3D"/>
    <w:rsid w:val="003E53DB"/>
    <w:rsid w:val="003E54EC"/>
    <w:rsid w:val="003E5A1F"/>
    <w:rsid w:val="003E603B"/>
    <w:rsid w:val="003E62A8"/>
    <w:rsid w:val="003E78F8"/>
    <w:rsid w:val="003E7EF4"/>
    <w:rsid w:val="003F0CFF"/>
    <w:rsid w:val="003F1206"/>
    <w:rsid w:val="003F3AC0"/>
    <w:rsid w:val="003F3C60"/>
    <w:rsid w:val="003F3C6A"/>
    <w:rsid w:val="003F4648"/>
    <w:rsid w:val="003F5AF0"/>
    <w:rsid w:val="003F5FD9"/>
    <w:rsid w:val="00402E59"/>
    <w:rsid w:val="00402EB6"/>
    <w:rsid w:val="0040356B"/>
    <w:rsid w:val="00403DD6"/>
    <w:rsid w:val="004053BC"/>
    <w:rsid w:val="00405630"/>
    <w:rsid w:val="00406889"/>
    <w:rsid w:val="00406FEB"/>
    <w:rsid w:val="00407EBF"/>
    <w:rsid w:val="00411489"/>
    <w:rsid w:val="00411789"/>
    <w:rsid w:val="00412475"/>
    <w:rsid w:val="00412A08"/>
    <w:rsid w:val="00413275"/>
    <w:rsid w:val="00416700"/>
    <w:rsid w:val="00417D81"/>
    <w:rsid w:val="00420194"/>
    <w:rsid w:val="00420409"/>
    <w:rsid w:val="00421B90"/>
    <w:rsid w:val="004228F1"/>
    <w:rsid w:val="004231C6"/>
    <w:rsid w:val="004242E2"/>
    <w:rsid w:val="0042467F"/>
    <w:rsid w:val="00424A42"/>
    <w:rsid w:val="004260FF"/>
    <w:rsid w:val="00430A40"/>
    <w:rsid w:val="004311E9"/>
    <w:rsid w:val="0043530C"/>
    <w:rsid w:val="00437682"/>
    <w:rsid w:val="004449A3"/>
    <w:rsid w:val="004459EB"/>
    <w:rsid w:val="00446246"/>
    <w:rsid w:val="00446F8E"/>
    <w:rsid w:val="004506DA"/>
    <w:rsid w:val="00450BEB"/>
    <w:rsid w:val="00450F8A"/>
    <w:rsid w:val="00454247"/>
    <w:rsid w:val="004549B3"/>
    <w:rsid w:val="00455E34"/>
    <w:rsid w:val="0045668F"/>
    <w:rsid w:val="00461CCB"/>
    <w:rsid w:val="00466310"/>
    <w:rsid w:val="004664D3"/>
    <w:rsid w:val="00466FDE"/>
    <w:rsid w:val="00467776"/>
    <w:rsid w:val="00467C2A"/>
    <w:rsid w:val="00470B44"/>
    <w:rsid w:val="00470CE5"/>
    <w:rsid w:val="004730E3"/>
    <w:rsid w:val="00474153"/>
    <w:rsid w:val="0047486D"/>
    <w:rsid w:val="0047575A"/>
    <w:rsid w:val="00475C05"/>
    <w:rsid w:val="00482CA1"/>
    <w:rsid w:val="00485D7D"/>
    <w:rsid w:val="004871B8"/>
    <w:rsid w:val="004913C3"/>
    <w:rsid w:val="00491D87"/>
    <w:rsid w:val="004923F4"/>
    <w:rsid w:val="004945C3"/>
    <w:rsid w:val="00494D93"/>
    <w:rsid w:val="00494E07"/>
    <w:rsid w:val="004959A7"/>
    <w:rsid w:val="00496788"/>
    <w:rsid w:val="00497ADF"/>
    <w:rsid w:val="004A081C"/>
    <w:rsid w:val="004A1014"/>
    <w:rsid w:val="004A2CA6"/>
    <w:rsid w:val="004A51B0"/>
    <w:rsid w:val="004A5E7A"/>
    <w:rsid w:val="004A6625"/>
    <w:rsid w:val="004A6EE4"/>
    <w:rsid w:val="004A7742"/>
    <w:rsid w:val="004A7BDA"/>
    <w:rsid w:val="004A7C7B"/>
    <w:rsid w:val="004B1216"/>
    <w:rsid w:val="004B173B"/>
    <w:rsid w:val="004B1D16"/>
    <w:rsid w:val="004B2067"/>
    <w:rsid w:val="004B2753"/>
    <w:rsid w:val="004B44CB"/>
    <w:rsid w:val="004B6972"/>
    <w:rsid w:val="004B69FC"/>
    <w:rsid w:val="004B6E9D"/>
    <w:rsid w:val="004B7035"/>
    <w:rsid w:val="004C00EA"/>
    <w:rsid w:val="004C2C79"/>
    <w:rsid w:val="004C39D4"/>
    <w:rsid w:val="004D04C8"/>
    <w:rsid w:val="004D0E03"/>
    <w:rsid w:val="004D4338"/>
    <w:rsid w:val="004D7D65"/>
    <w:rsid w:val="004E06DF"/>
    <w:rsid w:val="004E1B12"/>
    <w:rsid w:val="004E43CE"/>
    <w:rsid w:val="004E4990"/>
    <w:rsid w:val="004E4D63"/>
    <w:rsid w:val="004E4F6C"/>
    <w:rsid w:val="004E5911"/>
    <w:rsid w:val="004E5B36"/>
    <w:rsid w:val="004F0053"/>
    <w:rsid w:val="004F0326"/>
    <w:rsid w:val="004F2B13"/>
    <w:rsid w:val="004F44CA"/>
    <w:rsid w:val="004F5F99"/>
    <w:rsid w:val="00501796"/>
    <w:rsid w:val="005021AC"/>
    <w:rsid w:val="00503849"/>
    <w:rsid w:val="0050531C"/>
    <w:rsid w:val="00506AC2"/>
    <w:rsid w:val="00510EF9"/>
    <w:rsid w:val="00514287"/>
    <w:rsid w:val="00514320"/>
    <w:rsid w:val="0051527D"/>
    <w:rsid w:val="005158C4"/>
    <w:rsid w:val="00515BA2"/>
    <w:rsid w:val="00515ED7"/>
    <w:rsid w:val="00517178"/>
    <w:rsid w:val="00521378"/>
    <w:rsid w:val="00521649"/>
    <w:rsid w:val="00521661"/>
    <w:rsid w:val="00521695"/>
    <w:rsid w:val="00521B60"/>
    <w:rsid w:val="00522206"/>
    <w:rsid w:val="00524C41"/>
    <w:rsid w:val="0052502A"/>
    <w:rsid w:val="005252C7"/>
    <w:rsid w:val="005257FC"/>
    <w:rsid w:val="0052653F"/>
    <w:rsid w:val="00535321"/>
    <w:rsid w:val="0053759F"/>
    <w:rsid w:val="00537630"/>
    <w:rsid w:val="00540560"/>
    <w:rsid w:val="005417F4"/>
    <w:rsid w:val="00542774"/>
    <w:rsid w:val="005435FD"/>
    <w:rsid w:val="00544F6C"/>
    <w:rsid w:val="005453CA"/>
    <w:rsid w:val="005459B8"/>
    <w:rsid w:val="005474CE"/>
    <w:rsid w:val="005507A3"/>
    <w:rsid w:val="00551300"/>
    <w:rsid w:val="00552493"/>
    <w:rsid w:val="00555E60"/>
    <w:rsid w:val="00557A07"/>
    <w:rsid w:val="0056067F"/>
    <w:rsid w:val="00560C70"/>
    <w:rsid w:val="00562717"/>
    <w:rsid w:val="00562764"/>
    <w:rsid w:val="0056411A"/>
    <w:rsid w:val="00566B1B"/>
    <w:rsid w:val="00566B50"/>
    <w:rsid w:val="00567750"/>
    <w:rsid w:val="00567A8E"/>
    <w:rsid w:val="00567D92"/>
    <w:rsid w:val="005720F7"/>
    <w:rsid w:val="00573D4A"/>
    <w:rsid w:val="00574999"/>
    <w:rsid w:val="00576E10"/>
    <w:rsid w:val="00580373"/>
    <w:rsid w:val="00581D24"/>
    <w:rsid w:val="00581F32"/>
    <w:rsid w:val="00581F85"/>
    <w:rsid w:val="00583380"/>
    <w:rsid w:val="00584044"/>
    <w:rsid w:val="00584216"/>
    <w:rsid w:val="00584A70"/>
    <w:rsid w:val="00584CBD"/>
    <w:rsid w:val="00585792"/>
    <w:rsid w:val="00590738"/>
    <w:rsid w:val="0059115C"/>
    <w:rsid w:val="005911D5"/>
    <w:rsid w:val="0059134E"/>
    <w:rsid w:val="00591FE0"/>
    <w:rsid w:val="00593231"/>
    <w:rsid w:val="00596612"/>
    <w:rsid w:val="00596A43"/>
    <w:rsid w:val="00597927"/>
    <w:rsid w:val="005A49BD"/>
    <w:rsid w:val="005A4BE6"/>
    <w:rsid w:val="005A4F98"/>
    <w:rsid w:val="005A60A4"/>
    <w:rsid w:val="005A6375"/>
    <w:rsid w:val="005A74B7"/>
    <w:rsid w:val="005B0F8C"/>
    <w:rsid w:val="005B1889"/>
    <w:rsid w:val="005B1AA0"/>
    <w:rsid w:val="005B23E0"/>
    <w:rsid w:val="005B3278"/>
    <w:rsid w:val="005B32C2"/>
    <w:rsid w:val="005B3DC3"/>
    <w:rsid w:val="005B46F8"/>
    <w:rsid w:val="005B52C2"/>
    <w:rsid w:val="005B5EB8"/>
    <w:rsid w:val="005B6B96"/>
    <w:rsid w:val="005C0263"/>
    <w:rsid w:val="005C3D6B"/>
    <w:rsid w:val="005C434E"/>
    <w:rsid w:val="005C4389"/>
    <w:rsid w:val="005C55FC"/>
    <w:rsid w:val="005C5E63"/>
    <w:rsid w:val="005C6239"/>
    <w:rsid w:val="005D1124"/>
    <w:rsid w:val="005D1FAF"/>
    <w:rsid w:val="005D2545"/>
    <w:rsid w:val="005D3377"/>
    <w:rsid w:val="005D3ADC"/>
    <w:rsid w:val="005D3BAB"/>
    <w:rsid w:val="005D4B9A"/>
    <w:rsid w:val="005D4E7A"/>
    <w:rsid w:val="005D7E41"/>
    <w:rsid w:val="005E3230"/>
    <w:rsid w:val="005E554E"/>
    <w:rsid w:val="005E668E"/>
    <w:rsid w:val="005E6DDB"/>
    <w:rsid w:val="005F10FA"/>
    <w:rsid w:val="005F1AC7"/>
    <w:rsid w:val="005F2A28"/>
    <w:rsid w:val="005F2CF4"/>
    <w:rsid w:val="005F37C7"/>
    <w:rsid w:val="005F4E23"/>
    <w:rsid w:val="005F7923"/>
    <w:rsid w:val="00600CA5"/>
    <w:rsid w:val="006011DB"/>
    <w:rsid w:val="006024E0"/>
    <w:rsid w:val="00604102"/>
    <w:rsid w:val="006066BE"/>
    <w:rsid w:val="00606F70"/>
    <w:rsid w:val="00607453"/>
    <w:rsid w:val="0061082C"/>
    <w:rsid w:val="00610DD7"/>
    <w:rsid w:val="0061384B"/>
    <w:rsid w:val="00616C92"/>
    <w:rsid w:val="00621C4E"/>
    <w:rsid w:val="00622A4A"/>
    <w:rsid w:val="006269FD"/>
    <w:rsid w:val="00626B97"/>
    <w:rsid w:val="00627218"/>
    <w:rsid w:val="00627855"/>
    <w:rsid w:val="0063130C"/>
    <w:rsid w:val="00633486"/>
    <w:rsid w:val="006337F7"/>
    <w:rsid w:val="00633A69"/>
    <w:rsid w:val="006363E4"/>
    <w:rsid w:val="006379A5"/>
    <w:rsid w:val="00641506"/>
    <w:rsid w:val="00641FF1"/>
    <w:rsid w:val="00642227"/>
    <w:rsid w:val="00644213"/>
    <w:rsid w:val="006467A7"/>
    <w:rsid w:val="00647136"/>
    <w:rsid w:val="00647625"/>
    <w:rsid w:val="006477CA"/>
    <w:rsid w:val="006511AD"/>
    <w:rsid w:val="00651C8D"/>
    <w:rsid w:val="00654DC1"/>
    <w:rsid w:val="00657BAC"/>
    <w:rsid w:val="006600EB"/>
    <w:rsid w:val="00660185"/>
    <w:rsid w:val="00661DFE"/>
    <w:rsid w:val="00662B63"/>
    <w:rsid w:val="00663CB2"/>
    <w:rsid w:val="00664C20"/>
    <w:rsid w:val="00667C8B"/>
    <w:rsid w:val="006701FB"/>
    <w:rsid w:val="00670A2C"/>
    <w:rsid w:val="00672ADB"/>
    <w:rsid w:val="00673263"/>
    <w:rsid w:val="00673F07"/>
    <w:rsid w:val="006765B4"/>
    <w:rsid w:val="006765E6"/>
    <w:rsid w:val="006814B9"/>
    <w:rsid w:val="0068590C"/>
    <w:rsid w:val="00686541"/>
    <w:rsid w:val="006909ED"/>
    <w:rsid w:val="0069177C"/>
    <w:rsid w:val="006917D7"/>
    <w:rsid w:val="00692560"/>
    <w:rsid w:val="00692E77"/>
    <w:rsid w:val="006936E2"/>
    <w:rsid w:val="00693A08"/>
    <w:rsid w:val="006940ED"/>
    <w:rsid w:val="00695259"/>
    <w:rsid w:val="0069660E"/>
    <w:rsid w:val="00696794"/>
    <w:rsid w:val="0069775A"/>
    <w:rsid w:val="006A1526"/>
    <w:rsid w:val="006A62EA"/>
    <w:rsid w:val="006A64BD"/>
    <w:rsid w:val="006A7C34"/>
    <w:rsid w:val="006B1D83"/>
    <w:rsid w:val="006B341F"/>
    <w:rsid w:val="006B3936"/>
    <w:rsid w:val="006B7F7C"/>
    <w:rsid w:val="006C14BF"/>
    <w:rsid w:val="006C2A56"/>
    <w:rsid w:val="006C4B8A"/>
    <w:rsid w:val="006C4FD7"/>
    <w:rsid w:val="006C6198"/>
    <w:rsid w:val="006C6448"/>
    <w:rsid w:val="006C77F9"/>
    <w:rsid w:val="006D048B"/>
    <w:rsid w:val="006D3EDA"/>
    <w:rsid w:val="006D420B"/>
    <w:rsid w:val="006E03CA"/>
    <w:rsid w:val="006E11A4"/>
    <w:rsid w:val="006E1431"/>
    <w:rsid w:val="006E18C2"/>
    <w:rsid w:val="006E287C"/>
    <w:rsid w:val="006E34CB"/>
    <w:rsid w:val="006E3522"/>
    <w:rsid w:val="006E456C"/>
    <w:rsid w:val="006E4C05"/>
    <w:rsid w:val="006E4FFF"/>
    <w:rsid w:val="006E5DA9"/>
    <w:rsid w:val="006E61C0"/>
    <w:rsid w:val="006E630D"/>
    <w:rsid w:val="006E6C1C"/>
    <w:rsid w:val="006E6D5B"/>
    <w:rsid w:val="006E7D28"/>
    <w:rsid w:val="006F0390"/>
    <w:rsid w:val="006F1691"/>
    <w:rsid w:val="006F26FE"/>
    <w:rsid w:val="006F5A7C"/>
    <w:rsid w:val="006F6644"/>
    <w:rsid w:val="006F6DEB"/>
    <w:rsid w:val="006F7047"/>
    <w:rsid w:val="006F7D5A"/>
    <w:rsid w:val="007014E5"/>
    <w:rsid w:val="007028AD"/>
    <w:rsid w:val="00703491"/>
    <w:rsid w:val="00703AD4"/>
    <w:rsid w:val="00704307"/>
    <w:rsid w:val="007049E6"/>
    <w:rsid w:val="00704D23"/>
    <w:rsid w:val="00705174"/>
    <w:rsid w:val="00706B32"/>
    <w:rsid w:val="00710779"/>
    <w:rsid w:val="00711FB8"/>
    <w:rsid w:val="00712773"/>
    <w:rsid w:val="00714851"/>
    <w:rsid w:val="00714875"/>
    <w:rsid w:val="00715959"/>
    <w:rsid w:val="007202CD"/>
    <w:rsid w:val="0072043C"/>
    <w:rsid w:val="00720842"/>
    <w:rsid w:val="00720A29"/>
    <w:rsid w:val="00720A89"/>
    <w:rsid w:val="00722071"/>
    <w:rsid w:val="00723D07"/>
    <w:rsid w:val="00724D3F"/>
    <w:rsid w:val="00724E1F"/>
    <w:rsid w:val="00727729"/>
    <w:rsid w:val="0073003A"/>
    <w:rsid w:val="007306EC"/>
    <w:rsid w:val="00730809"/>
    <w:rsid w:val="007309A5"/>
    <w:rsid w:val="00732E53"/>
    <w:rsid w:val="00733C59"/>
    <w:rsid w:val="00734B5F"/>
    <w:rsid w:val="007366A6"/>
    <w:rsid w:val="00737054"/>
    <w:rsid w:val="00737C1B"/>
    <w:rsid w:val="007414D0"/>
    <w:rsid w:val="0074182F"/>
    <w:rsid w:val="007426F3"/>
    <w:rsid w:val="00744205"/>
    <w:rsid w:val="0074461E"/>
    <w:rsid w:val="00744716"/>
    <w:rsid w:val="00744C32"/>
    <w:rsid w:val="007461CE"/>
    <w:rsid w:val="007515ED"/>
    <w:rsid w:val="0075191B"/>
    <w:rsid w:val="007524C1"/>
    <w:rsid w:val="00760A94"/>
    <w:rsid w:val="00762E00"/>
    <w:rsid w:val="007647BC"/>
    <w:rsid w:val="00764895"/>
    <w:rsid w:val="00764A31"/>
    <w:rsid w:val="00764DF5"/>
    <w:rsid w:val="007712A9"/>
    <w:rsid w:val="00771D4A"/>
    <w:rsid w:val="0077256E"/>
    <w:rsid w:val="007728A6"/>
    <w:rsid w:val="0077664F"/>
    <w:rsid w:val="007808F6"/>
    <w:rsid w:val="00780A72"/>
    <w:rsid w:val="00781315"/>
    <w:rsid w:val="007814DD"/>
    <w:rsid w:val="00782A22"/>
    <w:rsid w:val="00782AF3"/>
    <w:rsid w:val="00783046"/>
    <w:rsid w:val="0078317F"/>
    <w:rsid w:val="00786104"/>
    <w:rsid w:val="007877F8"/>
    <w:rsid w:val="00787A1B"/>
    <w:rsid w:val="00794398"/>
    <w:rsid w:val="00794FAC"/>
    <w:rsid w:val="00795B91"/>
    <w:rsid w:val="007A1227"/>
    <w:rsid w:val="007A2DDC"/>
    <w:rsid w:val="007A50AF"/>
    <w:rsid w:val="007A68DD"/>
    <w:rsid w:val="007A71FC"/>
    <w:rsid w:val="007B0428"/>
    <w:rsid w:val="007B08CC"/>
    <w:rsid w:val="007B1CE9"/>
    <w:rsid w:val="007B2B7F"/>
    <w:rsid w:val="007B3110"/>
    <w:rsid w:val="007B313B"/>
    <w:rsid w:val="007B3C27"/>
    <w:rsid w:val="007B428D"/>
    <w:rsid w:val="007B595B"/>
    <w:rsid w:val="007B5ABF"/>
    <w:rsid w:val="007B74FA"/>
    <w:rsid w:val="007C11E6"/>
    <w:rsid w:val="007C2F0D"/>
    <w:rsid w:val="007C3CED"/>
    <w:rsid w:val="007C3FE0"/>
    <w:rsid w:val="007C55FB"/>
    <w:rsid w:val="007C5798"/>
    <w:rsid w:val="007D1476"/>
    <w:rsid w:val="007D157C"/>
    <w:rsid w:val="007D3C8D"/>
    <w:rsid w:val="007D4AEB"/>
    <w:rsid w:val="007D6ABC"/>
    <w:rsid w:val="007D7777"/>
    <w:rsid w:val="007E2617"/>
    <w:rsid w:val="007E46C7"/>
    <w:rsid w:val="007E6204"/>
    <w:rsid w:val="007F3055"/>
    <w:rsid w:val="007F3395"/>
    <w:rsid w:val="007F3844"/>
    <w:rsid w:val="007F4118"/>
    <w:rsid w:val="007F5685"/>
    <w:rsid w:val="007F73BD"/>
    <w:rsid w:val="007F7A29"/>
    <w:rsid w:val="007F7DBD"/>
    <w:rsid w:val="00800785"/>
    <w:rsid w:val="00800C6B"/>
    <w:rsid w:val="00802270"/>
    <w:rsid w:val="00803A68"/>
    <w:rsid w:val="0080469D"/>
    <w:rsid w:val="00806F8C"/>
    <w:rsid w:val="00806FF1"/>
    <w:rsid w:val="00807372"/>
    <w:rsid w:val="008075CD"/>
    <w:rsid w:val="00810854"/>
    <w:rsid w:val="00813036"/>
    <w:rsid w:val="0081372B"/>
    <w:rsid w:val="00814638"/>
    <w:rsid w:val="00814C0D"/>
    <w:rsid w:val="0082094F"/>
    <w:rsid w:val="00824FC7"/>
    <w:rsid w:val="008251BB"/>
    <w:rsid w:val="00825ADB"/>
    <w:rsid w:val="00825E53"/>
    <w:rsid w:val="0082666E"/>
    <w:rsid w:val="00826D28"/>
    <w:rsid w:val="00826E1B"/>
    <w:rsid w:val="00827146"/>
    <w:rsid w:val="008276BE"/>
    <w:rsid w:val="008276C0"/>
    <w:rsid w:val="00827A4F"/>
    <w:rsid w:val="008305E0"/>
    <w:rsid w:val="00830677"/>
    <w:rsid w:val="00831A72"/>
    <w:rsid w:val="008322E4"/>
    <w:rsid w:val="00833498"/>
    <w:rsid w:val="00833845"/>
    <w:rsid w:val="0083442B"/>
    <w:rsid w:val="00835CF7"/>
    <w:rsid w:val="00836095"/>
    <w:rsid w:val="00837BDB"/>
    <w:rsid w:val="00842627"/>
    <w:rsid w:val="00843711"/>
    <w:rsid w:val="00844525"/>
    <w:rsid w:val="00844741"/>
    <w:rsid w:val="00844BA0"/>
    <w:rsid w:val="00845252"/>
    <w:rsid w:val="008452B4"/>
    <w:rsid w:val="008457D4"/>
    <w:rsid w:val="00846102"/>
    <w:rsid w:val="00846455"/>
    <w:rsid w:val="0084646C"/>
    <w:rsid w:val="0084798C"/>
    <w:rsid w:val="00850F68"/>
    <w:rsid w:val="00851102"/>
    <w:rsid w:val="0085137B"/>
    <w:rsid w:val="00853910"/>
    <w:rsid w:val="00853C6E"/>
    <w:rsid w:val="008541F3"/>
    <w:rsid w:val="0085682B"/>
    <w:rsid w:val="0085714F"/>
    <w:rsid w:val="00861AB9"/>
    <w:rsid w:val="00861CE4"/>
    <w:rsid w:val="00862FA6"/>
    <w:rsid w:val="008646D0"/>
    <w:rsid w:val="00867DCF"/>
    <w:rsid w:val="00871DFB"/>
    <w:rsid w:val="008725A9"/>
    <w:rsid w:val="00872B89"/>
    <w:rsid w:val="008741EB"/>
    <w:rsid w:val="008742D2"/>
    <w:rsid w:val="008748EC"/>
    <w:rsid w:val="008752DF"/>
    <w:rsid w:val="008758C1"/>
    <w:rsid w:val="008769FD"/>
    <w:rsid w:val="00877A74"/>
    <w:rsid w:val="00882148"/>
    <w:rsid w:val="00886296"/>
    <w:rsid w:val="00891231"/>
    <w:rsid w:val="0089150A"/>
    <w:rsid w:val="008931E5"/>
    <w:rsid w:val="0089331B"/>
    <w:rsid w:val="008936DB"/>
    <w:rsid w:val="00895ACF"/>
    <w:rsid w:val="0089635C"/>
    <w:rsid w:val="00897DD3"/>
    <w:rsid w:val="008A0468"/>
    <w:rsid w:val="008A0783"/>
    <w:rsid w:val="008A09B8"/>
    <w:rsid w:val="008A18EC"/>
    <w:rsid w:val="008A297D"/>
    <w:rsid w:val="008A31AF"/>
    <w:rsid w:val="008A669F"/>
    <w:rsid w:val="008A6F82"/>
    <w:rsid w:val="008A7D63"/>
    <w:rsid w:val="008B1038"/>
    <w:rsid w:val="008B2150"/>
    <w:rsid w:val="008B2254"/>
    <w:rsid w:val="008B3E56"/>
    <w:rsid w:val="008B7256"/>
    <w:rsid w:val="008B7BE3"/>
    <w:rsid w:val="008B7BF6"/>
    <w:rsid w:val="008C16E8"/>
    <w:rsid w:val="008C1CA6"/>
    <w:rsid w:val="008C2DCC"/>
    <w:rsid w:val="008C3C63"/>
    <w:rsid w:val="008C515F"/>
    <w:rsid w:val="008C5236"/>
    <w:rsid w:val="008C555E"/>
    <w:rsid w:val="008C660D"/>
    <w:rsid w:val="008D05AE"/>
    <w:rsid w:val="008D1FD5"/>
    <w:rsid w:val="008D27DC"/>
    <w:rsid w:val="008D2AAF"/>
    <w:rsid w:val="008D3918"/>
    <w:rsid w:val="008D668D"/>
    <w:rsid w:val="008D7D5D"/>
    <w:rsid w:val="008E0DC3"/>
    <w:rsid w:val="008E29DE"/>
    <w:rsid w:val="008E2E45"/>
    <w:rsid w:val="008E4733"/>
    <w:rsid w:val="008E5174"/>
    <w:rsid w:val="008E55B7"/>
    <w:rsid w:val="008E5DCC"/>
    <w:rsid w:val="008E72BB"/>
    <w:rsid w:val="008E7AAE"/>
    <w:rsid w:val="008E7FDA"/>
    <w:rsid w:val="008F0567"/>
    <w:rsid w:val="008F124A"/>
    <w:rsid w:val="008F2B63"/>
    <w:rsid w:val="008F3189"/>
    <w:rsid w:val="008F31E9"/>
    <w:rsid w:val="008F4F13"/>
    <w:rsid w:val="008F57FB"/>
    <w:rsid w:val="008F59EE"/>
    <w:rsid w:val="008F72E6"/>
    <w:rsid w:val="008F7705"/>
    <w:rsid w:val="009005F8"/>
    <w:rsid w:val="009007CA"/>
    <w:rsid w:val="00901B00"/>
    <w:rsid w:val="00902464"/>
    <w:rsid w:val="0090291E"/>
    <w:rsid w:val="00902B23"/>
    <w:rsid w:val="00902EBC"/>
    <w:rsid w:val="00903451"/>
    <w:rsid w:val="009040B2"/>
    <w:rsid w:val="00906049"/>
    <w:rsid w:val="009071C5"/>
    <w:rsid w:val="009112F8"/>
    <w:rsid w:val="009122A9"/>
    <w:rsid w:val="00912C5A"/>
    <w:rsid w:val="009140A0"/>
    <w:rsid w:val="009155B1"/>
    <w:rsid w:val="00915C07"/>
    <w:rsid w:val="0091649D"/>
    <w:rsid w:val="00921675"/>
    <w:rsid w:val="0092412E"/>
    <w:rsid w:val="00924485"/>
    <w:rsid w:val="00926558"/>
    <w:rsid w:val="00930E47"/>
    <w:rsid w:val="00931570"/>
    <w:rsid w:val="00932F47"/>
    <w:rsid w:val="0093542A"/>
    <w:rsid w:val="0093648B"/>
    <w:rsid w:val="00936497"/>
    <w:rsid w:val="00940BB5"/>
    <w:rsid w:val="009412B4"/>
    <w:rsid w:val="0094195D"/>
    <w:rsid w:val="00941CD5"/>
    <w:rsid w:val="00942E93"/>
    <w:rsid w:val="00943392"/>
    <w:rsid w:val="00945007"/>
    <w:rsid w:val="00945F01"/>
    <w:rsid w:val="009462A5"/>
    <w:rsid w:val="0094679E"/>
    <w:rsid w:val="009469F7"/>
    <w:rsid w:val="00947C5B"/>
    <w:rsid w:val="00950956"/>
    <w:rsid w:val="00951D8C"/>
    <w:rsid w:val="009521AE"/>
    <w:rsid w:val="0095252A"/>
    <w:rsid w:val="009525B5"/>
    <w:rsid w:val="00954DAF"/>
    <w:rsid w:val="00954E5D"/>
    <w:rsid w:val="00954F19"/>
    <w:rsid w:val="00955BAF"/>
    <w:rsid w:val="009561D9"/>
    <w:rsid w:val="009569A1"/>
    <w:rsid w:val="00956AEF"/>
    <w:rsid w:val="00956CDA"/>
    <w:rsid w:val="00956E74"/>
    <w:rsid w:val="00961F3A"/>
    <w:rsid w:val="0096202A"/>
    <w:rsid w:val="00963470"/>
    <w:rsid w:val="009634A9"/>
    <w:rsid w:val="00963980"/>
    <w:rsid w:val="0096432E"/>
    <w:rsid w:val="00964586"/>
    <w:rsid w:val="00966692"/>
    <w:rsid w:val="009666F9"/>
    <w:rsid w:val="0097004F"/>
    <w:rsid w:val="009717E1"/>
    <w:rsid w:val="00973C64"/>
    <w:rsid w:val="00976A90"/>
    <w:rsid w:val="00977126"/>
    <w:rsid w:val="0098145F"/>
    <w:rsid w:val="00983929"/>
    <w:rsid w:val="00983B98"/>
    <w:rsid w:val="00983C54"/>
    <w:rsid w:val="009915D7"/>
    <w:rsid w:val="00991CBE"/>
    <w:rsid w:val="00993D6A"/>
    <w:rsid w:val="00994F60"/>
    <w:rsid w:val="00995135"/>
    <w:rsid w:val="00996F3B"/>
    <w:rsid w:val="009972DD"/>
    <w:rsid w:val="009A0F94"/>
    <w:rsid w:val="009A26AA"/>
    <w:rsid w:val="009A2AB2"/>
    <w:rsid w:val="009A3ED9"/>
    <w:rsid w:val="009A4D8C"/>
    <w:rsid w:val="009A5BA7"/>
    <w:rsid w:val="009A6035"/>
    <w:rsid w:val="009A6096"/>
    <w:rsid w:val="009A708C"/>
    <w:rsid w:val="009B2390"/>
    <w:rsid w:val="009B2CD1"/>
    <w:rsid w:val="009B3B9D"/>
    <w:rsid w:val="009B5784"/>
    <w:rsid w:val="009B614C"/>
    <w:rsid w:val="009C0220"/>
    <w:rsid w:val="009C152B"/>
    <w:rsid w:val="009C21F7"/>
    <w:rsid w:val="009C3846"/>
    <w:rsid w:val="009C399E"/>
    <w:rsid w:val="009C41E4"/>
    <w:rsid w:val="009C6268"/>
    <w:rsid w:val="009C6C45"/>
    <w:rsid w:val="009C6C6D"/>
    <w:rsid w:val="009D072C"/>
    <w:rsid w:val="009D13FA"/>
    <w:rsid w:val="009D17AA"/>
    <w:rsid w:val="009D1BED"/>
    <w:rsid w:val="009D1DD4"/>
    <w:rsid w:val="009D2C29"/>
    <w:rsid w:val="009D324D"/>
    <w:rsid w:val="009D7963"/>
    <w:rsid w:val="009E099B"/>
    <w:rsid w:val="009E0A33"/>
    <w:rsid w:val="009E0ABC"/>
    <w:rsid w:val="009E3754"/>
    <w:rsid w:val="009E39FF"/>
    <w:rsid w:val="009E3BC0"/>
    <w:rsid w:val="009F0895"/>
    <w:rsid w:val="009F2490"/>
    <w:rsid w:val="009F24A5"/>
    <w:rsid w:val="009F2A50"/>
    <w:rsid w:val="009F5BC8"/>
    <w:rsid w:val="009F700C"/>
    <w:rsid w:val="009F7041"/>
    <w:rsid w:val="00A02708"/>
    <w:rsid w:val="00A034C0"/>
    <w:rsid w:val="00A03AD2"/>
    <w:rsid w:val="00A05175"/>
    <w:rsid w:val="00A05ECF"/>
    <w:rsid w:val="00A06984"/>
    <w:rsid w:val="00A11A1B"/>
    <w:rsid w:val="00A11AF4"/>
    <w:rsid w:val="00A14865"/>
    <w:rsid w:val="00A14C37"/>
    <w:rsid w:val="00A14D56"/>
    <w:rsid w:val="00A15164"/>
    <w:rsid w:val="00A168FC"/>
    <w:rsid w:val="00A17028"/>
    <w:rsid w:val="00A17BA9"/>
    <w:rsid w:val="00A2059C"/>
    <w:rsid w:val="00A212E0"/>
    <w:rsid w:val="00A21506"/>
    <w:rsid w:val="00A22625"/>
    <w:rsid w:val="00A23D5A"/>
    <w:rsid w:val="00A247B2"/>
    <w:rsid w:val="00A24830"/>
    <w:rsid w:val="00A24F82"/>
    <w:rsid w:val="00A25E60"/>
    <w:rsid w:val="00A3030B"/>
    <w:rsid w:val="00A30314"/>
    <w:rsid w:val="00A30CDA"/>
    <w:rsid w:val="00A3155C"/>
    <w:rsid w:val="00A31DDF"/>
    <w:rsid w:val="00A327E0"/>
    <w:rsid w:val="00A34C96"/>
    <w:rsid w:val="00A352E2"/>
    <w:rsid w:val="00A3672C"/>
    <w:rsid w:val="00A3718E"/>
    <w:rsid w:val="00A40AA2"/>
    <w:rsid w:val="00A453F6"/>
    <w:rsid w:val="00A46D66"/>
    <w:rsid w:val="00A50121"/>
    <w:rsid w:val="00A50352"/>
    <w:rsid w:val="00A5244B"/>
    <w:rsid w:val="00A5606C"/>
    <w:rsid w:val="00A56215"/>
    <w:rsid w:val="00A573F4"/>
    <w:rsid w:val="00A5781C"/>
    <w:rsid w:val="00A652CB"/>
    <w:rsid w:val="00A653AF"/>
    <w:rsid w:val="00A71F3F"/>
    <w:rsid w:val="00A736ED"/>
    <w:rsid w:val="00A75144"/>
    <w:rsid w:val="00A7534D"/>
    <w:rsid w:val="00A758EB"/>
    <w:rsid w:val="00A7601A"/>
    <w:rsid w:val="00A76AC5"/>
    <w:rsid w:val="00A77A27"/>
    <w:rsid w:val="00A77D3A"/>
    <w:rsid w:val="00A82911"/>
    <w:rsid w:val="00A82EB3"/>
    <w:rsid w:val="00A8566B"/>
    <w:rsid w:val="00A868CF"/>
    <w:rsid w:val="00A86A05"/>
    <w:rsid w:val="00A86FC9"/>
    <w:rsid w:val="00A87CBB"/>
    <w:rsid w:val="00A906A1"/>
    <w:rsid w:val="00A906F7"/>
    <w:rsid w:val="00A91074"/>
    <w:rsid w:val="00A915EE"/>
    <w:rsid w:val="00A916DB"/>
    <w:rsid w:val="00A92CDA"/>
    <w:rsid w:val="00A94612"/>
    <w:rsid w:val="00A95F67"/>
    <w:rsid w:val="00A96861"/>
    <w:rsid w:val="00A973B1"/>
    <w:rsid w:val="00A97867"/>
    <w:rsid w:val="00AA1AA7"/>
    <w:rsid w:val="00AA211B"/>
    <w:rsid w:val="00AA24B6"/>
    <w:rsid w:val="00AA3D79"/>
    <w:rsid w:val="00AA5A59"/>
    <w:rsid w:val="00AA630A"/>
    <w:rsid w:val="00AA6A53"/>
    <w:rsid w:val="00AA6AB5"/>
    <w:rsid w:val="00AA749F"/>
    <w:rsid w:val="00AA7A9C"/>
    <w:rsid w:val="00AB0071"/>
    <w:rsid w:val="00AB02C6"/>
    <w:rsid w:val="00AB046D"/>
    <w:rsid w:val="00AB0FDF"/>
    <w:rsid w:val="00AB11F4"/>
    <w:rsid w:val="00AB2D85"/>
    <w:rsid w:val="00AB339B"/>
    <w:rsid w:val="00AB4AF4"/>
    <w:rsid w:val="00AB5488"/>
    <w:rsid w:val="00AB598D"/>
    <w:rsid w:val="00AB6C7F"/>
    <w:rsid w:val="00AC0D4E"/>
    <w:rsid w:val="00AC1420"/>
    <w:rsid w:val="00AC426E"/>
    <w:rsid w:val="00AC4758"/>
    <w:rsid w:val="00AC48AC"/>
    <w:rsid w:val="00AC4906"/>
    <w:rsid w:val="00AC4987"/>
    <w:rsid w:val="00AC58ED"/>
    <w:rsid w:val="00AC704C"/>
    <w:rsid w:val="00AC7969"/>
    <w:rsid w:val="00AD0C08"/>
    <w:rsid w:val="00AD307A"/>
    <w:rsid w:val="00AD3EE2"/>
    <w:rsid w:val="00AD4684"/>
    <w:rsid w:val="00AD48F1"/>
    <w:rsid w:val="00AD4E78"/>
    <w:rsid w:val="00AE04ED"/>
    <w:rsid w:val="00AE152D"/>
    <w:rsid w:val="00AE190D"/>
    <w:rsid w:val="00AE2457"/>
    <w:rsid w:val="00AE2D23"/>
    <w:rsid w:val="00AE3883"/>
    <w:rsid w:val="00AE7AA2"/>
    <w:rsid w:val="00AF1FDD"/>
    <w:rsid w:val="00AF3B50"/>
    <w:rsid w:val="00AF4BC9"/>
    <w:rsid w:val="00AF51F6"/>
    <w:rsid w:val="00AF52C2"/>
    <w:rsid w:val="00AF5DBD"/>
    <w:rsid w:val="00AF783E"/>
    <w:rsid w:val="00AF7DBE"/>
    <w:rsid w:val="00B00F26"/>
    <w:rsid w:val="00B02ED0"/>
    <w:rsid w:val="00B03160"/>
    <w:rsid w:val="00B044E2"/>
    <w:rsid w:val="00B0451D"/>
    <w:rsid w:val="00B0764B"/>
    <w:rsid w:val="00B11706"/>
    <w:rsid w:val="00B1270C"/>
    <w:rsid w:val="00B15C53"/>
    <w:rsid w:val="00B16521"/>
    <w:rsid w:val="00B20703"/>
    <w:rsid w:val="00B207E5"/>
    <w:rsid w:val="00B21152"/>
    <w:rsid w:val="00B22FA0"/>
    <w:rsid w:val="00B23F13"/>
    <w:rsid w:val="00B24908"/>
    <w:rsid w:val="00B24B13"/>
    <w:rsid w:val="00B2773D"/>
    <w:rsid w:val="00B278BE"/>
    <w:rsid w:val="00B3063C"/>
    <w:rsid w:val="00B30725"/>
    <w:rsid w:val="00B30A64"/>
    <w:rsid w:val="00B30A9A"/>
    <w:rsid w:val="00B337D2"/>
    <w:rsid w:val="00B34154"/>
    <w:rsid w:val="00B34FE6"/>
    <w:rsid w:val="00B353F6"/>
    <w:rsid w:val="00B3649D"/>
    <w:rsid w:val="00B377DF"/>
    <w:rsid w:val="00B418BA"/>
    <w:rsid w:val="00B42120"/>
    <w:rsid w:val="00B428C2"/>
    <w:rsid w:val="00B431B9"/>
    <w:rsid w:val="00B44372"/>
    <w:rsid w:val="00B4660B"/>
    <w:rsid w:val="00B469DA"/>
    <w:rsid w:val="00B47529"/>
    <w:rsid w:val="00B47551"/>
    <w:rsid w:val="00B50251"/>
    <w:rsid w:val="00B5053E"/>
    <w:rsid w:val="00B52FA2"/>
    <w:rsid w:val="00B52FB9"/>
    <w:rsid w:val="00B56D42"/>
    <w:rsid w:val="00B57784"/>
    <w:rsid w:val="00B6250F"/>
    <w:rsid w:val="00B6359A"/>
    <w:rsid w:val="00B63AC5"/>
    <w:rsid w:val="00B64245"/>
    <w:rsid w:val="00B6436F"/>
    <w:rsid w:val="00B67320"/>
    <w:rsid w:val="00B678C1"/>
    <w:rsid w:val="00B67BAC"/>
    <w:rsid w:val="00B67D99"/>
    <w:rsid w:val="00B67F90"/>
    <w:rsid w:val="00B72261"/>
    <w:rsid w:val="00B7238A"/>
    <w:rsid w:val="00B72D8F"/>
    <w:rsid w:val="00B74C25"/>
    <w:rsid w:val="00B74C59"/>
    <w:rsid w:val="00B75A31"/>
    <w:rsid w:val="00B767D4"/>
    <w:rsid w:val="00B77DF2"/>
    <w:rsid w:val="00B8072A"/>
    <w:rsid w:val="00B8163E"/>
    <w:rsid w:val="00B827B5"/>
    <w:rsid w:val="00B83050"/>
    <w:rsid w:val="00B849A1"/>
    <w:rsid w:val="00B86B2F"/>
    <w:rsid w:val="00B87687"/>
    <w:rsid w:val="00B87AE1"/>
    <w:rsid w:val="00B92B7F"/>
    <w:rsid w:val="00B964ED"/>
    <w:rsid w:val="00B976E4"/>
    <w:rsid w:val="00BA03FE"/>
    <w:rsid w:val="00BA1F13"/>
    <w:rsid w:val="00BA2185"/>
    <w:rsid w:val="00BA5431"/>
    <w:rsid w:val="00BA7019"/>
    <w:rsid w:val="00BB010B"/>
    <w:rsid w:val="00BB0A6E"/>
    <w:rsid w:val="00BB0CC8"/>
    <w:rsid w:val="00BB146E"/>
    <w:rsid w:val="00BB41FF"/>
    <w:rsid w:val="00BC37D3"/>
    <w:rsid w:val="00BC635B"/>
    <w:rsid w:val="00BD1F05"/>
    <w:rsid w:val="00BD2CB6"/>
    <w:rsid w:val="00BD3A6D"/>
    <w:rsid w:val="00BD6265"/>
    <w:rsid w:val="00BD722B"/>
    <w:rsid w:val="00BD7EE7"/>
    <w:rsid w:val="00BE0E5B"/>
    <w:rsid w:val="00BE1AD3"/>
    <w:rsid w:val="00BE3585"/>
    <w:rsid w:val="00BE3BAA"/>
    <w:rsid w:val="00BE40D3"/>
    <w:rsid w:val="00BE6CE0"/>
    <w:rsid w:val="00BE6FE4"/>
    <w:rsid w:val="00BF3084"/>
    <w:rsid w:val="00BF383A"/>
    <w:rsid w:val="00BF507D"/>
    <w:rsid w:val="00BF58F6"/>
    <w:rsid w:val="00BF5A48"/>
    <w:rsid w:val="00BF6E47"/>
    <w:rsid w:val="00BF7C65"/>
    <w:rsid w:val="00C00DE4"/>
    <w:rsid w:val="00C020FC"/>
    <w:rsid w:val="00C070DE"/>
    <w:rsid w:val="00C07B37"/>
    <w:rsid w:val="00C106F8"/>
    <w:rsid w:val="00C11627"/>
    <w:rsid w:val="00C11D5D"/>
    <w:rsid w:val="00C139B8"/>
    <w:rsid w:val="00C13B6C"/>
    <w:rsid w:val="00C1758C"/>
    <w:rsid w:val="00C2031C"/>
    <w:rsid w:val="00C2153F"/>
    <w:rsid w:val="00C21DA9"/>
    <w:rsid w:val="00C2219B"/>
    <w:rsid w:val="00C2764A"/>
    <w:rsid w:val="00C30CD8"/>
    <w:rsid w:val="00C31B07"/>
    <w:rsid w:val="00C337C9"/>
    <w:rsid w:val="00C33BA8"/>
    <w:rsid w:val="00C37695"/>
    <w:rsid w:val="00C40B58"/>
    <w:rsid w:val="00C41A20"/>
    <w:rsid w:val="00C42B7E"/>
    <w:rsid w:val="00C43591"/>
    <w:rsid w:val="00C44047"/>
    <w:rsid w:val="00C441D0"/>
    <w:rsid w:val="00C44F52"/>
    <w:rsid w:val="00C4539A"/>
    <w:rsid w:val="00C453B8"/>
    <w:rsid w:val="00C50CFD"/>
    <w:rsid w:val="00C5184F"/>
    <w:rsid w:val="00C54531"/>
    <w:rsid w:val="00C56AAA"/>
    <w:rsid w:val="00C570E1"/>
    <w:rsid w:val="00C618BA"/>
    <w:rsid w:val="00C632D4"/>
    <w:rsid w:val="00C656E7"/>
    <w:rsid w:val="00C669B6"/>
    <w:rsid w:val="00C66D87"/>
    <w:rsid w:val="00C7033A"/>
    <w:rsid w:val="00C70B9B"/>
    <w:rsid w:val="00C70F84"/>
    <w:rsid w:val="00C71364"/>
    <w:rsid w:val="00C72887"/>
    <w:rsid w:val="00C72E9F"/>
    <w:rsid w:val="00C72FA0"/>
    <w:rsid w:val="00C73995"/>
    <w:rsid w:val="00C7404F"/>
    <w:rsid w:val="00C76B80"/>
    <w:rsid w:val="00C76CED"/>
    <w:rsid w:val="00C806A2"/>
    <w:rsid w:val="00C8220B"/>
    <w:rsid w:val="00C82794"/>
    <w:rsid w:val="00C864D3"/>
    <w:rsid w:val="00C86A3E"/>
    <w:rsid w:val="00C87451"/>
    <w:rsid w:val="00C908E6"/>
    <w:rsid w:val="00C91980"/>
    <w:rsid w:val="00C91B74"/>
    <w:rsid w:val="00C939B9"/>
    <w:rsid w:val="00C93D06"/>
    <w:rsid w:val="00C93D74"/>
    <w:rsid w:val="00C94A73"/>
    <w:rsid w:val="00C94D38"/>
    <w:rsid w:val="00C94EE8"/>
    <w:rsid w:val="00CA028E"/>
    <w:rsid w:val="00CA0A35"/>
    <w:rsid w:val="00CA0C16"/>
    <w:rsid w:val="00CA0E71"/>
    <w:rsid w:val="00CA12A5"/>
    <w:rsid w:val="00CA19D2"/>
    <w:rsid w:val="00CA1CFE"/>
    <w:rsid w:val="00CA235F"/>
    <w:rsid w:val="00CA2D44"/>
    <w:rsid w:val="00CA4064"/>
    <w:rsid w:val="00CA453D"/>
    <w:rsid w:val="00CA55E2"/>
    <w:rsid w:val="00CA6C1F"/>
    <w:rsid w:val="00CA6CE3"/>
    <w:rsid w:val="00CB11A3"/>
    <w:rsid w:val="00CB3A11"/>
    <w:rsid w:val="00CB7418"/>
    <w:rsid w:val="00CB7A18"/>
    <w:rsid w:val="00CC0319"/>
    <w:rsid w:val="00CC0713"/>
    <w:rsid w:val="00CC0F15"/>
    <w:rsid w:val="00CC108F"/>
    <w:rsid w:val="00CC203C"/>
    <w:rsid w:val="00CC212C"/>
    <w:rsid w:val="00CC28D9"/>
    <w:rsid w:val="00CC29C7"/>
    <w:rsid w:val="00CC328E"/>
    <w:rsid w:val="00CC37BC"/>
    <w:rsid w:val="00CC454F"/>
    <w:rsid w:val="00CC5336"/>
    <w:rsid w:val="00CC66D7"/>
    <w:rsid w:val="00CC6D1E"/>
    <w:rsid w:val="00CD0DF4"/>
    <w:rsid w:val="00CD18B3"/>
    <w:rsid w:val="00CD340A"/>
    <w:rsid w:val="00CD3D56"/>
    <w:rsid w:val="00CD4E87"/>
    <w:rsid w:val="00CD5348"/>
    <w:rsid w:val="00CD62FC"/>
    <w:rsid w:val="00CE1514"/>
    <w:rsid w:val="00CE1A37"/>
    <w:rsid w:val="00CE3BD8"/>
    <w:rsid w:val="00CF0002"/>
    <w:rsid w:val="00CF0557"/>
    <w:rsid w:val="00CF09AF"/>
    <w:rsid w:val="00CF29E4"/>
    <w:rsid w:val="00CF2D58"/>
    <w:rsid w:val="00CF2E00"/>
    <w:rsid w:val="00CF2FA1"/>
    <w:rsid w:val="00CF3088"/>
    <w:rsid w:val="00CF313D"/>
    <w:rsid w:val="00CF3416"/>
    <w:rsid w:val="00CF3F1B"/>
    <w:rsid w:val="00CF4F7C"/>
    <w:rsid w:val="00D0054E"/>
    <w:rsid w:val="00D04082"/>
    <w:rsid w:val="00D05B51"/>
    <w:rsid w:val="00D06154"/>
    <w:rsid w:val="00D065A9"/>
    <w:rsid w:val="00D10AA6"/>
    <w:rsid w:val="00D1254B"/>
    <w:rsid w:val="00D12F46"/>
    <w:rsid w:val="00D14D52"/>
    <w:rsid w:val="00D155CA"/>
    <w:rsid w:val="00D17B37"/>
    <w:rsid w:val="00D2132D"/>
    <w:rsid w:val="00D22106"/>
    <w:rsid w:val="00D224D6"/>
    <w:rsid w:val="00D23797"/>
    <w:rsid w:val="00D30CB5"/>
    <w:rsid w:val="00D31B19"/>
    <w:rsid w:val="00D32E90"/>
    <w:rsid w:val="00D349D0"/>
    <w:rsid w:val="00D355EF"/>
    <w:rsid w:val="00D36078"/>
    <w:rsid w:val="00D36079"/>
    <w:rsid w:val="00D360E2"/>
    <w:rsid w:val="00D3622E"/>
    <w:rsid w:val="00D36492"/>
    <w:rsid w:val="00D37AFD"/>
    <w:rsid w:val="00D37F4E"/>
    <w:rsid w:val="00D40943"/>
    <w:rsid w:val="00D45984"/>
    <w:rsid w:val="00D461B9"/>
    <w:rsid w:val="00D4795F"/>
    <w:rsid w:val="00D479F4"/>
    <w:rsid w:val="00D47CF3"/>
    <w:rsid w:val="00D51397"/>
    <w:rsid w:val="00D52FEF"/>
    <w:rsid w:val="00D53A72"/>
    <w:rsid w:val="00D54930"/>
    <w:rsid w:val="00D55E94"/>
    <w:rsid w:val="00D5706A"/>
    <w:rsid w:val="00D579C7"/>
    <w:rsid w:val="00D63FEC"/>
    <w:rsid w:val="00D644D8"/>
    <w:rsid w:val="00D660D0"/>
    <w:rsid w:val="00D6691A"/>
    <w:rsid w:val="00D7181C"/>
    <w:rsid w:val="00D71851"/>
    <w:rsid w:val="00D808A3"/>
    <w:rsid w:val="00D80973"/>
    <w:rsid w:val="00D81DFF"/>
    <w:rsid w:val="00D82130"/>
    <w:rsid w:val="00D82A50"/>
    <w:rsid w:val="00D839C4"/>
    <w:rsid w:val="00D86C74"/>
    <w:rsid w:val="00D87D2F"/>
    <w:rsid w:val="00D87D4B"/>
    <w:rsid w:val="00D9234A"/>
    <w:rsid w:val="00D92DEF"/>
    <w:rsid w:val="00D93E4F"/>
    <w:rsid w:val="00D94BF2"/>
    <w:rsid w:val="00D95E4A"/>
    <w:rsid w:val="00D96AB7"/>
    <w:rsid w:val="00DA05C6"/>
    <w:rsid w:val="00DA0658"/>
    <w:rsid w:val="00DA0732"/>
    <w:rsid w:val="00DA1CAE"/>
    <w:rsid w:val="00DA3F38"/>
    <w:rsid w:val="00DA5EB8"/>
    <w:rsid w:val="00DB129F"/>
    <w:rsid w:val="00DB16AB"/>
    <w:rsid w:val="00DB1DC2"/>
    <w:rsid w:val="00DB64C0"/>
    <w:rsid w:val="00DC0188"/>
    <w:rsid w:val="00DC03F1"/>
    <w:rsid w:val="00DC065D"/>
    <w:rsid w:val="00DC09AB"/>
    <w:rsid w:val="00DC1272"/>
    <w:rsid w:val="00DC1AD2"/>
    <w:rsid w:val="00DC3970"/>
    <w:rsid w:val="00DC4FB8"/>
    <w:rsid w:val="00DC721F"/>
    <w:rsid w:val="00DD01A0"/>
    <w:rsid w:val="00DD06EE"/>
    <w:rsid w:val="00DD46BE"/>
    <w:rsid w:val="00DD5992"/>
    <w:rsid w:val="00DE310F"/>
    <w:rsid w:val="00DE4863"/>
    <w:rsid w:val="00DE488F"/>
    <w:rsid w:val="00DE634D"/>
    <w:rsid w:val="00DE6C88"/>
    <w:rsid w:val="00DE6F13"/>
    <w:rsid w:val="00DF0127"/>
    <w:rsid w:val="00DF2747"/>
    <w:rsid w:val="00DF312B"/>
    <w:rsid w:val="00DF3181"/>
    <w:rsid w:val="00DF34CE"/>
    <w:rsid w:val="00DF4B49"/>
    <w:rsid w:val="00DF57F9"/>
    <w:rsid w:val="00DF5FEF"/>
    <w:rsid w:val="00DF68C7"/>
    <w:rsid w:val="00DF7ACE"/>
    <w:rsid w:val="00E001C7"/>
    <w:rsid w:val="00E01590"/>
    <w:rsid w:val="00E01EB2"/>
    <w:rsid w:val="00E02E94"/>
    <w:rsid w:val="00E03EAD"/>
    <w:rsid w:val="00E055F7"/>
    <w:rsid w:val="00E07520"/>
    <w:rsid w:val="00E0785E"/>
    <w:rsid w:val="00E07C1F"/>
    <w:rsid w:val="00E119D2"/>
    <w:rsid w:val="00E11C3E"/>
    <w:rsid w:val="00E11E51"/>
    <w:rsid w:val="00E12EC2"/>
    <w:rsid w:val="00E12F9F"/>
    <w:rsid w:val="00E133BB"/>
    <w:rsid w:val="00E13F2D"/>
    <w:rsid w:val="00E14BA8"/>
    <w:rsid w:val="00E17FAD"/>
    <w:rsid w:val="00E224D9"/>
    <w:rsid w:val="00E22A83"/>
    <w:rsid w:val="00E22CCA"/>
    <w:rsid w:val="00E23FFF"/>
    <w:rsid w:val="00E24B48"/>
    <w:rsid w:val="00E25791"/>
    <w:rsid w:val="00E269F8"/>
    <w:rsid w:val="00E27F9F"/>
    <w:rsid w:val="00E310D5"/>
    <w:rsid w:val="00E32AF1"/>
    <w:rsid w:val="00E33693"/>
    <w:rsid w:val="00E35C0F"/>
    <w:rsid w:val="00E36685"/>
    <w:rsid w:val="00E419A6"/>
    <w:rsid w:val="00E41BA4"/>
    <w:rsid w:val="00E421FE"/>
    <w:rsid w:val="00E42A27"/>
    <w:rsid w:val="00E42FD8"/>
    <w:rsid w:val="00E44553"/>
    <w:rsid w:val="00E46EA5"/>
    <w:rsid w:val="00E50B68"/>
    <w:rsid w:val="00E51879"/>
    <w:rsid w:val="00E52FCD"/>
    <w:rsid w:val="00E53018"/>
    <w:rsid w:val="00E53831"/>
    <w:rsid w:val="00E53F98"/>
    <w:rsid w:val="00E543D1"/>
    <w:rsid w:val="00E548FE"/>
    <w:rsid w:val="00E56830"/>
    <w:rsid w:val="00E6192C"/>
    <w:rsid w:val="00E62AF1"/>
    <w:rsid w:val="00E62DA6"/>
    <w:rsid w:val="00E637CD"/>
    <w:rsid w:val="00E63CE5"/>
    <w:rsid w:val="00E64CFA"/>
    <w:rsid w:val="00E65A0A"/>
    <w:rsid w:val="00E65B7C"/>
    <w:rsid w:val="00E66603"/>
    <w:rsid w:val="00E66A69"/>
    <w:rsid w:val="00E66C45"/>
    <w:rsid w:val="00E70D32"/>
    <w:rsid w:val="00E71048"/>
    <w:rsid w:val="00E717B6"/>
    <w:rsid w:val="00E72FD8"/>
    <w:rsid w:val="00E74371"/>
    <w:rsid w:val="00E77D67"/>
    <w:rsid w:val="00E80930"/>
    <w:rsid w:val="00E8180D"/>
    <w:rsid w:val="00E8301A"/>
    <w:rsid w:val="00E83780"/>
    <w:rsid w:val="00E8491F"/>
    <w:rsid w:val="00E84991"/>
    <w:rsid w:val="00E84B50"/>
    <w:rsid w:val="00E85794"/>
    <w:rsid w:val="00E85BD5"/>
    <w:rsid w:val="00E86744"/>
    <w:rsid w:val="00E86F6F"/>
    <w:rsid w:val="00E87A95"/>
    <w:rsid w:val="00E87D11"/>
    <w:rsid w:val="00E9375B"/>
    <w:rsid w:val="00E949E3"/>
    <w:rsid w:val="00E97479"/>
    <w:rsid w:val="00EA0131"/>
    <w:rsid w:val="00EA14F6"/>
    <w:rsid w:val="00EA296B"/>
    <w:rsid w:val="00EA2D7F"/>
    <w:rsid w:val="00EA2FE5"/>
    <w:rsid w:val="00EA3A51"/>
    <w:rsid w:val="00EA3C0D"/>
    <w:rsid w:val="00EA3D14"/>
    <w:rsid w:val="00EA4180"/>
    <w:rsid w:val="00EA455D"/>
    <w:rsid w:val="00EA5600"/>
    <w:rsid w:val="00EA63B0"/>
    <w:rsid w:val="00EA6D16"/>
    <w:rsid w:val="00EA74E2"/>
    <w:rsid w:val="00EB32CF"/>
    <w:rsid w:val="00EB37B6"/>
    <w:rsid w:val="00EB3C8F"/>
    <w:rsid w:val="00EB5F66"/>
    <w:rsid w:val="00EC0402"/>
    <w:rsid w:val="00EC4FF9"/>
    <w:rsid w:val="00ED2AC8"/>
    <w:rsid w:val="00ED2EA9"/>
    <w:rsid w:val="00ED2EB3"/>
    <w:rsid w:val="00ED3B28"/>
    <w:rsid w:val="00ED3E66"/>
    <w:rsid w:val="00ED5123"/>
    <w:rsid w:val="00ED5178"/>
    <w:rsid w:val="00ED7914"/>
    <w:rsid w:val="00EE0512"/>
    <w:rsid w:val="00EE23D4"/>
    <w:rsid w:val="00EE4EBD"/>
    <w:rsid w:val="00EE62F7"/>
    <w:rsid w:val="00EE658E"/>
    <w:rsid w:val="00EE660C"/>
    <w:rsid w:val="00EF000D"/>
    <w:rsid w:val="00EF4A99"/>
    <w:rsid w:val="00EF4C35"/>
    <w:rsid w:val="00EF4E71"/>
    <w:rsid w:val="00EF4FA4"/>
    <w:rsid w:val="00EF51B9"/>
    <w:rsid w:val="00EF7739"/>
    <w:rsid w:val="00F009C0"/>
    <w:rsid w:val="00F04BA2"/>
    <w:rsid w:val="00F055DA"/>
    <w:rsid w:val="00F063DA"/>
    <w:rsid w:val="00F06EA7"/>
    <w:rsid w:val="00F07035"/>
    <w:rsid w:val="00F10038"/>
    <w:rsid w:val="00F10074"/>
    <w:rsid w:val="00F10DE4"/>
    <w:rsid w:val="00F11C34"/>
    <w:rsid w:val="00F128FA"/>
    <w:rsid w:val="00F13550"/>
    <w:rsid w:val="00F13E87"/>
    <w:rsid w:val="00F14A72"/>
    <w:rsid w:val="00F15FB1"/>
    <w:rsid w:val="00F16226"/>
    <w:rsid w:val="00F2101B"/>
    <w:rsid w:val="00F231C6"/>
    <w:rsid w:val="00F23755"/>
    <w:rsid w:val="00F268BA"/>
    <w:rsid w:val="00F26FD2"/>
    <w:rsid w:val="00F2702C"/>
    <w:rsid w:val="00F27575"/>
    <w:rsid w:val="00F303A7"/>
    <w:rsid w:val="00F311C9"/>
    <w:rsid w:val="00F32423"/>
    <w:rsid w:val="00F32EAE"/>
    <w:rsid w:val="00F37645"/>
    <w:rsid w:val="00F401FA"/>
    <w:rsid w:val="00F40594"/>
    <w:rsid w:val="00F409B7"/>
    <w:rsid w:val="00F40E14"/>
    <w:rsid w:val="00F4134D"/>
    <w:rsid w:val="00F43FB7"/>
    <w:rsid w:val="00F45311"/>
    <w:rsid w:val="00F45808"/>
    <w:rsid w:val="00F46E97"/>
    <w:rsid w:val="00F477F7"/>
    <w:rsid w:val="00F533EB"/>
    <w:rsid w:val="00F55F50"/>
    <w:rsid w:val="00F56BCB"/>
    <w:rsid w:val="00F56F70"/>
    <w:rsid w:val="00F60EB2"/>
    <w:rsid w:val="00F610FA"/>
    <w:rsid w:val="00F61791"/>
    <w:rsid w:val="00F6205E"/>
    <w:rsid w:val="00F62D48"/>
    <w:rsid w:val="00F6372C"/>
    <w:rsid w:val="00F64565"/>
    <w:rsid w:val="00F64E17"/>
    <w:rsid w:val="00F64EA6"/>
    <w:rsid w:val="00F656AD"/>
    <w:rsid w:val="00F6606B"/>
    <w:rsid w:val="00F666A3"/>
    <w:rsid w:val="00F67C6E"/>
    <w:rsid w:val="00F70A6C"/>
    <w:rsid w:val="00F71263"/>
    <w:rsid w:val="00F714B8"/>
    <w:rsid w:val="00F717D9"/>
    <w:rsid w:val="00F71E11"/>
    <w:rsid w:val="00F72409"/>
    <w:rsid w:val="00F7548B"/>
    <w:rsid w:val="00F75BBA"/>
    <w:rsid w:val="00F76A92"/>
    <w:rsid w:val="00F779BE"/>
    <w:rsid w:val="00F82026"/>
    <w:rsid w:val="00F82EB0"/>
    <w:rsid w:val="00F83079"/>
    <w:rsid w:val="00F83BED"/>
    <w:rsid w:val="00F9017B"/>
    <w:rsid w:val="00F92CF8"/>
    <w:rsid w:val="00F93B9B"/>
    <w:rsid w:val="00F94068"/>
    <w:rsid w:val="00F940B5"/>
    <w:rsid w:val="00F96DC2"/>
    <w:rsid w:val="00FA02D9"/>
    <w:rsid w:val="00FA1192"/>
    <w:rsid w:val="00FA176C"/>
    <w:rsid w:val="00FA3603"/>
    <w:rsid w:val="00FA406E"/>
    <w:rsid w:val="00FA432D"/>
    <w:rsid w:val="00FA56E3"/>
    <w:rsid w:val="00FA5C9B"/>
    <w:rsid w:val="00FA6FB1"/>
    <w:rsid w:val="00FB200C"/>
    <w:rsid w:val="00FB2392"/>
    <w:rsid w:val="00FB34EC"/>
    <w:rsid w:val="00FB3AEC"/>
    <w:rsid w:val="00FB56DA"/>
    <w:rsid w:val="00FB5FA6"/>
    <w:rsid w:val="00FB60A9"/>
    <w:rsid w:val="00FC4927"/>
    <w:rsid w:val="00FC502E"/>
    <w:rsid w:val="00FC5E67"/>
    <w:rsid w:val="00FC6CD5"/>
    <w:rsid w:val="00FC75D8"/>
    <w:rsid w:val="00FD12B3"/>
    <w:rsid w:val="00FD409C"/>
    <w:rsid w:val="00FD42B5"/>
    <w:rsid w:val="00FD6247"/>
    <w:rsid w:val="00FD631D"/>
    <w:rsid w:val="00FE12D3"/>
    <w:rsid w:val="00FE3504"/>
    <w:rsid w:val="00FE3FEC"/>
    <w:rsid w:val="00FE46B4"/>
    <w:rsid w:val="00FE5DBE"/>
    <w:rsid w:val="00FF03A2"/>
    <w:rsid w:val="00FF0DDD"/>
    <w:rsid w:val="00FF26BC"/>
    <w:rsid w:val="00FF497A"/>
    <w:rsid w:val="00FF53E9"/>
    <w:rsid w:val="00FF6FF5"/>
    <w:rsid w:val="00FF7033"/>
    <w:rsid w:val="00FF75BA"/>
    <w:rsid w:val="00FF7B8D"/>
    <w:rsid w:val="00FF7D77"/>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364CA"/>
  <w15:docId w15:val="{525A8B69-818E-4FCC-80E5-42CD030BD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D9E"/>
    <w:pPr>
      <w:widowControl w:val="0"/>
      <w:spacing w:line="400" w:lineRule="exact"/>
    </w:pPr>
  </w:style>
  <w:style w:type="paragraph" w:styleId="3">
    <w:name w:val="heading 3"/>
    <w:basedOn w:val="a"/>
    <w:link w:val="30"/>
    <w:uiPriority w:val="9"/>
    <w:qFormat/>
    <w:rsid w:val="005E554E"/>
    <w:pPr>
      <w:widowControl/>
      <w:spacing w:before="100" w:beforeAutospacing="1" w:after="100" w:afterAutospacing="1" w:line="240" w:lineRule="auto"/>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67750"/>
    <w:pPr>
      <w:spacing w:line="240" w:lineRule="auto"/>
      <w:ind w:leftChars="200" w:left="480"/>
    </w:pPr>
    <w:rPr>
      <w:rFonts w:ascii="Calibri" w:eastAsia="新細明體" w:hAnsi="Calibri" w:cs="Times New Roman"/>
    </w:rPr>
  </w:style>
  <w:style w:type="paragraph" w:styleId="a5">
    <w:name w:val="footnote text"/>
    <w:basedOn w:val="a"/>
    <w:link w:val="a6"/>
    <w:uiPriority w:val="99"/>
    <w:unhideWhenUsed/>
    <w:rsid w:val="00191461"/>
    <w:pPr>
      <w:snapToGrid w:val="0"/>
      <w:spacing w:line="240" w:lineRule="auto"/>
    </w:pPr>
    <w:rPr>
      <w:rFonts w:ascii="Calibri" w:eastAsia="新細明體" w:hAnsi="Calibri" w:cs="Times New Roman"/>
      <w:sz w:val="20"/>
      <w:szCs w:val="20"/>
    </w:rPr>
  </w:style>
  <w:style w:type="character" w:customStyle="1" w:styleId="a6">
    <w:name w:val="註腳文字 字元"/>
    <w:basedOn w:val="a0"/>
    <w:link w:val="a5"/>
    <w:uiPriority w:val="99"/>
    <w:rsid w:val="00191461"/>
    <w:rPr>
      <w:rFonts w:ascii="Calibri" w:eastAsia="新細明體" w:hAnsi="Calibri" w:cs="Times New Roman"/>
      <w:sz w:val="20"/>
      <w:szCs w:val="20"/>
    </w:rPr>
  </w:style>
  <w:style w:type="character" w:styleId="a7">
    <w:name w:val="footnote reference"/>
    <w:uiPriority w:val="99"/>
    <w:semiHidden/>
    <w:unhideWhenUsed/>
    <w:rsid w:val="00191461"/>
    <w:rPr>
      <w:vertAlign w:val="superscript"/>
    </w:rPr>
  </w:style>
  <w:style w:type="paragraph" w:styleId="a8">
    <w:name w:val="header"/>
    <w:basedOn w:val="a"/>
    <w:link w:val="a9"/>
    <w:uiPriority w:val="99"/>
    <w:unhideWhenUsed/>
    <w:rsid w:val="00CF313D"/>
    <w:pPr>
      <w:tabs>
        <w:tab w:val="center" w:pos="4153"/>
        <w:tab w:val="right" w:pos="8306"/>
      </w:tabs>
      <w:snapToGrid w:val="0"/>
      <w:spacing w:line="240" w:lineRule="auto"/>
    </w:pPr>
    <w:rPr>
      <w:rFonts w:ascii="Calibri" w:eastAsia="新細明體" w:hAnsi="Calibri" w:cs="Times New Roman"/>
      <w:sz w:val="20"/>
      <w:szCs w:val="20"/>
    </w:rPr>
  </w:style>
  <w:style w:type="character" w:customStyle="1" w:styleId="a9">
    <w:name w:val="頁首 字元"/>
    <w:basedOn w:val="a0"/>
    <w:link w:val="a8"/>
    <w:uiPriority w:val="99"/>
    <w:rsid w:val="00CF313D"/>
    <w:rPr>
      <w:rFonts w:ascii="Calibri" w:eastAsia="新細明體" w:hAnsi="Calibri" w:cs="Times New Roman"/>
      <w:sz w:val="20"/>
      <w:szCs w:val="20"/>
    </w:rPr>
  </w:style>
  <w:style w:type="paragraph" w:styleId="aa">
    <w:name w:val="footer"/>
    <w:basedOn w:val="a"/>
    <w:link w:val="ab"/>
    <w:uiPriority w:val="99"/>
    <w:unhideWhenUsed/>
    <w:rsid w:val="00137731"/>
    <w:pPr>
      <w:tabs>
        <w:tab w:val="center" w:pos="4153"/>
        <w:tab w:val="right" w:pos="8306"/>
      </w:tabs>
      <w:snapToGrid w:val="0"/>
    </w:pPr>
    <w:rPr>
      <w:sz w:val="20"/>
      <w:szCs w:val="20"/>
    </w:rPr>
  </w:style>
  <w:style w:type="character" w:customStyle="1" w:styleId="ab">
    <w:name w:val="頁尾 字元"/>
    <w:basedOn w:val="a0"/>
    <w:link w:val="aa"/>
    <w:uiPriority w:val="99"/>
    <w:rsid w:val="00137731"/>
    <w:rPr>
      <w:sz w:val="20"/>
      <w:szCs w:val="20"/>
    </w:rPr>
  </w:style>
  <w:style w:type="paragraph" w:styleId="ac">
    <w:name w:val="Balloon Text"/>
    <w:basedOn w:val="a"/>
    <w:link w:val="ad"/>
    <w:uiPriority w:val="99"/>
    <w:semiHidden/>
    <w:unhideWhenUsed/>
    <w:rsid w:val="008D1FD5"/>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D1FD5"/>
    <w:rPr>
      <w:rFonts w:asciiTheme="majorHAnsi" w:eastAsiaTheme="majorEastAsia" w:hAnsiTheme="majorHAnsi" w:cstheme="majorBidi"/>
      <w:sz w:val="18"/>
      <w:szCs w:val="18"/>
    </w:rPr>
  </w:style>
  <w:style w:type="character" w:styleId="ae">
    <w:name w:val="annotation reference"/>
    <w:basedOn w:val="a0"/>
    <w:uiPriority w:val="99"/>
    <w:semiHidden/>
    <w:unhideWhenUsed/>
    <w:rsid w:val="00E22CCA"/>
    <w:rPr>
      <w:sz w:val="18"/>
      <w:szCs w:val="18"/>
    </w:rPr>
  </w:style>
  <w:style w:type="paragraph" w:styleId="af">
    <w:name w:val="annotation text"/>
    <w:basedOn w:val="a"/>
    <w:link w:val="af0"/>
    <w:uiPriority w:val="99"/>
    <w:semiHidden/>
    <w:unhideWhenUsed/>
    <w:rsid w:val="00E22CCA"/>
  </w:style>
  <w:style w:type="character" w:customStyle="1" w:styleId="af0">
    <w:name w:val="註解文字 字元"/>
    <w:basedOn w:val="a0"/>
    <w:link w:val="af"/>
    <w:uiPriority w:val="99"/>
    <w:semiHidden/>
    <w:rsid w:val="00E22CCA"/>
  </w:style>
  <w:style w:type="paragraph" w:styleId="af1">
    <w:name w:val="annotation subject"/>
    <w:basedOn w:val="af"/>
    <w:next w:val="af"/>
    <w:link w:val="af2"/>
    <w:uiPriority w:val="99"/>
    <w:semiHidden/>
    <w:unhideWhenUsed/>
    <w:rsid w:val="00E22CCA"/>
    <w:rPr>
      <w:b/>
      <w:bCs/>
    </w:rPr>
  </w:style>
  <w:style w:type="character" w:customStyle="1" w:styleId="af2">
    <w:name w:val="註解主旨 字元"/>
    <w:basedOn w:val="af0"/>
    <w:link w:val="af1"/>
    <w:uiPriority w:val="99"/>
    <w:semiHidden/>
    <w:rsid w:val="00E22CCA"/>
    <w:rPr>
      <w:b/>
      <w:bCs/>
    </w:rPr>
  </w:style>
  <w:style w:type="character" w:styleId="af3">
    <w:name w:val="Hyperlink"/>
    <w:basedOn w:val="a0"/>
    <w:uiPriority w:val="99"/>
    <w:unhideWhenUsed/>
    <w:rsid w:val="00E86F6F"/>
    <w:rPr>
      <w:color w:val="0563C1" w:themeColor="hyperlink"/>
      <w:u w:val="single"/>
    </w:rPr>
  </w:style>
  <w:style w:type="character" w:customStyle="1" w:styleId="af4">
    <w:name w:val="純文字 字元"/>
    <w:link w:val="af5"/>
    <w:locked/>
    <w:rsid w:val="009F24A5"/>
    <w:rPr>
      <w:rFonts w:ascii="Calibri" w:eastAsia="新細明體" w:hAnsi="Courier New"/>
      <w:szCs w:val="24"/>
    </w:rPr>
  </w:style>
  <w:style w:type="paragraph" w:styleId="af5">
    <w:name w:val="Plain Text"/>
    <w:basedOn w:val="a"/>
    <w:link w:val="af4"/>
    <w:rsid w:val="009F24A5"/>
    <w:pPr>
      <w:spacing w:line="240" w:lineRule="auto"/>
    </w:pPr>
    <w:rPr>
      <w:rFonts w:ascii="Calibri" w:eastAsia="新細明體" w:hAnsi="Courier New"/>
      <w:szCs w:val="24"/>
    </w:rPr>
  </w:style>
  <w:style w:type="character" w:customStyle="1" w:styleId="1">
    <w:name w:val="純文字 字元1"/>
    <w:basedOn w:val="a0"/>
    <w:uiPriority w:val="99"/>
    <w:semiHidden/>
    <w:rsid w:val="009F24A5"/>
    <w:rPr>
      <w:rFonts w:ascii="細明體" w:eastAsia="細明體" w:hAnsi="Courier New" w:cs="Courier New"/>
      <w:szCs w:val="24"/>
    </w:rPr>
  </w:style>
  <w:style w:type="paragraph" w:styleId="HTML">
    <w:name w:val="HTML Preformatted"/>
    <w:basedOn w:val="a"/>
    <w:link w:val="HTML0"/>
    <w:uiPriority w:val="99"/>
    <w:unhideWhenUsed/>
    <w:rsid w:val="001B0B7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細明體" w:eastAsia="細明體" w:hAnsi="細明體" w:cs="細明體"/>
      <w:kern w:val="0"/>
      <w:szCs w:val="24"/>
    </w:rPr>
  </w:style>
  <w:style w:type="character" w:customStyle="1" w:styleId="HTML0">
    <w:name w:val="HTML 預設格式 字元"/>
    <w:basedOn w:val="a0"/>
    <w:link w:val="HTML"/>
    <w:uiPriority w:val="99"/>
    <w:rsid w:val="001B0B7F"/>
    <w:rPr>
      <w:rFonts w:ascii="細明體" w:eastAsia="細明體" w:hAnsi="細明體" w:cs="細明體"/>
      <w:kern w:val="0"/>
      <w:szCs w:val="24"/>
    </w:rPr>
  </w:style>
  <w:style w:type="character" w:customStyle="1" w:styleId="30">
    <w:name w:val="標題 3 字元"/>
    <w:basedOn w:val="a0"/>
    <w:link w:val="3"/>
    <w:uiPriority w:val="9"/>
    <w:rsid w:val="005E554E"/>
    <w:rPr>
      <w:rFonts w:ascii="新細明體" w:eastAsia="新細明體" w:hAnsi="新細明體" w:cs="新細明體"/>
      <w:b/>
      <w:bCs/>
      <w:kern w:val="0"/>
      <w:sz w:val="27"/>
      <w:szCs w:val="27"/>
    </w:rPr>
  </w:style>
  <w:style w:type="character" w:styleId="af6">
    <w:name w:val="FollowedHyperlink"/>
    <w:basedOn w:val="a0"/>
    <w:uiPriority w:val="99"/>
    <w:semiHidden/>
    <w:unhideWhenUsed/>
    <w:rsid w:val="009525B5"/>
    <w:rPr>
      <w:color w:val="954F72" w:themeColor="followedHyperlink"/>
      <w:u w:val="single"/>
    </w:rPr>
  </w:style>
  <w:style w:type="paragraph" w:styleId="af7">
    <w:name w:val="Revision"/>
    <w:hidden/>
    <w:uiPriority w:val="99"/>
    <w:semiHidden/>
    <w:rsid w:val="00806FF1"/>
  </w:style>
  <w:style w:type="character" w:styleId="af8">
    <w:name w:val="Emphasis"/>
    <w:basedOn w:val="a0"/>
    <w:uiPriority w:val="20"/>
    <w:qFormat/>
    <w:rsid w:val="000A12F9"/>
    <w:rPr>
      <w:i/>
      <w:iCs/>
    </w:rPr>
  </w:style>
  <w:style w:type="table" w:customStyle="1" w:styleId="10">
    <w:name w:val="表格格線1"/>
    <w:basedOn w:val="a1"/>
    <w:next w:val="a3"/>
    <w:uiPriority w:val="39"/>
    <w:rsid w:val="005B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afa"/>
    <w:uiPriority w:val="99"/>
    <w:semiHidden/>
    <w:unhideWhenUsed/>
    <w:rsid w:val="005C55FC"/>
    <w:pPr>
      <w:snapToGrid w:val="0"/>
    </w:pPr>
  </w:style>
  <w:style w:type="character" w:customStyle="1" w:styleId="afa">
    <w:name w:val="章節附註文字 字元"/>
    <w:basedOn w:val="a0"/>
    <w:link w:val="af9"/>
    <w:uiPriority w:val="99"/>
    <w:semiHidden/>
    <w:rsid w:val="005C55FC"/>
  </w:style>
  <w:style w:type="character" w:styleId="afb">
    <w:name w:val="endnote reference"/>
    <w:basedOn w:val="a0"/>
    <w:uiPriority w:val="99"/>
    <w:semiHidden/>
    <w:unhideWhenUsed/>
    <w:rsid w:val="005C5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07628">
      <w:bodyDiv w:val="1"/>
      <w:marLeft w:val="0"/>
      <w:marRight w:val="0"/>
      <w:marTop w:val="0"/>
      <w:marBottom w:val="0"/>
      <w:divBdr>
        <w:top w:val="none" w:sz="0" w:space="0" w:color="auto"/>
        <w:left w:val="none" w:sz="0" w:space="0" w:color="auto"/>
        <w:bottom w:val="none" w:sz="0" w:space="0" w:color="auto"/>
        <w:right w:val="none" w:sz="0" w:space="0" w:color="auto"/>
      </w:divBdr>
    </w:div>
    <w:div w:id="259334703">
      <w:bodyDiv w:val="1"/>
      <w:marLeft w:val="0"/>
      <w:marRight w:val="0"/>
      <w:marTop w:val="0"/>
      <w:marBottom w:val="0"/>
      <w:divBdr>
        <w:top w:val="none" w:sz="0" w:space="0" w:color="auto"/>
        <w:left w:val="none" w:sz="0" w:space="0" w:color="auto"/>
        <w:bottom w:val="none" w:sz="0" w:space="0" w:color="auto"/>
        <w:right w:val="none" w:sz="0" w:space="0" w:color="auto"/>
      </w:divBdr>
    </w:div>
    <w:div w:id="334653188">
      <w:bodyDiv w:val="1"/>
      <w:marLeft w:val="0"/>
      <w:marRight w:val="0"/>
      <w:marTop w:val="0"/>
      <w:marBottom w:val="0"/>
      <w:divBdr>
        <w:top w:val="none" w:sz="0" w:space="0" w:color="auto"/>
        <w:left w:val="none" w:sz="0" w:space="0" w:color="auto"/>
        <w:bottom w:val="none" w:sz="0" w:space="0" w:color="auto"/>
        <w:right w:val="none" w:sz="0" w:space="0" w:color="auto"/>
      </w:divBdr>
    </w:div>
    <w:div w:id="668674364">
      <w:bodyDiv w:val="1"/>
      <w:marLeft w:val="0"/>
      <w:marRight w:val="0"/>
      <w:marTop w:val="0"/>
      <w:marBottom w:val="0"/>
      <w:divBdr>
        <w:top w:val="none" w:sz="0" w:space="0" w:color="auto"/>
        <w:left w:val="none" w:sz="0" w:space="0" w:color="auto"/>
        <w:bottom w:val="none" w:sz="0" w:space="0" w:color="auto"/>
        <w:right w:val="none" w:sz="0" w:space="0" w:color="auto"/>
      </w:divBdr>
    </w:div>
    <w:div w:id="804087105">
      <w:bodyDiv w:val="1"/>
      <w:marLeft w:val="0"/>
      <w:marRight w:val="0"/>
      <w:marTop w:val="0"/>
      <w:marBottom w:val="0"/>
      <w:divBdr>
        <w:top w:val="none" w:sz="0" w:space="0" w:color="auto"/>
        <w:left w:val="none" w:sz="0" w:space="0" w:color="auto"/>
        <w:bottom w:val="none" w:sz="0" w:space="0" w:color="auto"/>
        <w:right w:val="none" w:sz="0" w:space="0" w:color="auto"/>
      </w:divBdr>
    </w:div>
    <w:div w:id="987709228">
      <w:bodyDiv w:val="1"/>
      <w:marLeft w:val="0"/>
      <w:marRight w:val="0"/>
      <w:marTop w:val="0"/>
      <w:marBottom w:val="0"/>
      <w:divBdr>
        <w:top w:val="none" w:sz="0" w:space="0" w:color="auto"/>
        <w:left w:val="none" w:sz="0" w:space="0" w:color="auto"/>
        <w:bottom w:val="none" w:sz="0" w:space="0" w:color="auto"/>
        <w:right w:val="none" w:sz="0" w:space="0" w:color="auto"/>
      </w:divBdr>
    </w:div>
    <w:div w:id="1243178244">
      <w:bodyDiv w:val="1"/>
      <w:marLeft w:val="0"/>
      <w:marRight w:val="0"/>
      <w:marTop w:val="0"/>
      <w:marBottom w:val="0"/>
      <w:divBdr>
        <w:top w:val="none" w:sz="0" w:space="0" w:color="auto"/>
        <w:left w:val="none" w:sz="0" w:space="0" w:color="auto"/>
        <w:bottom w:val="none" w:sz="0" w:space="0" w:color="auto"/>
        <w:right w:val="none" w:sz="0" w:space="0" w:color="auto"/>
      </w:divBdr>
    </w:div>
    <w:div w:id="1246919159">
      <w:bodyDiv w:val="1"/>
      <w:marLeft w:val="0"/>
      <w:marRight w:val="0"/>
      <w:marTop w:val="0"/>
      <w:marBottom w:val="0"/>
      <w:divBdr>
        <w:top w:val="none" w:sz="0" w:space="0" w:color="auto"/>
        <w:left w:val="none" w:sz="0" w:space="0" w:color="auto"/>
        <w:bottom w:val="none" w:sz="0" w:space="0" w:color="auto"/>
        <w:right w:val="none" w:sz="0" w:space="0" w:color="auto"/>
      </w:divBdr>
    </w:div>
    <w:div w:id="1291856966">
      <w:bodyDiv w:val="1"/>
      <w:marLeft w:val="0"/>
      <w:marRight w:val="0"/>
      <w:marTop w:val="0"/>
      <w:marBottom w:val="0"/>
      <w:divBdr>
        <w:top w:val="none" w:sz="0" w:space="0" w:color="auto"/>
        <w:left w:val="none" w:sz="0" w:space="0" w:color="auto"/>
        <w:bottom w:val="none" w:sz="0" w:space="0" w:color="auto"/>
        <w:right w:val="none" w:sz="0" w:space="0" w:color="auto"/>
      </w:divBdr>
    </w:div>
    <w:div w:id="1366710868">
      <w:bodyDiv w:val="1"/>
      <w:marLeft w:val="0"/>
      <w:marRight w:val="0"/>
      <w:marTop w:val="0"/>
      <w:marBottom w:val="0"/>
      <w:divBdr>
        <w:top w:val="none" w:sz="0" w:space="0" w:color="auto"/>
        <w:left w:val="none" w:sz="0" w:space="0" w:color="auto"/>
        <w:bottom w:val="none" w:sz="0" w:space="0" w:color="auto"/>
        <w:right w:val="none" w:sz="0" w:space="0" w:color="auto"/>
      </w:divBdr>
    </w:div>
    <w:div w:id="1516461224">
      <w:bodyDiv w:val="1"/>
      <w:marLeft w:val="0"/>
      <w:marRight w:val="0"/>
      <w:marTop w:val="0"/>
      <w:marBottom w:val="0"/>
      <w:divBdr>
        <w:top w:val="none" w:sz="0" w:space="0" w:color="auto"/>
        <w:left w:val="none" w:sz="0" w:space="0" w:color="auto"/>
        <w:bottom w:val="none" w:sz="0" w:space="0" w:color="auto"/>
        <w:right w:val="none" w:sz="0" w:space="0" w:color="auto"/>
      </w:divBdr>
    </w:div>
    <w:div w:id="1657956340">
      <w:bodyDiv w:val="1"/>
      <w:marLeft w:val="0"/>
      <w:marRight w:val="0"/>
      <w:marTop w:val="0"/>
      <w:marBottom w:val="0"/>
      <w:divBdr>
        <w:top w:val="none" w:sz="0" w:space="0" w:color="auto"/>
        <w:left w:val="none" w:sz="0" w:space="0" w:color="auto"/>
        <w:bottom w:val="none" w:sz="0" w:space="0" w:color="auto"/>
        <w:right w:val="none" w:sz="0" w:space="0" w:color="auto"/>
      </w:divBdr>
    </w:div>
    <w:div w:id="1870138756">
      <w:bodyDiv w:val="1"/>
      <w:marLeft w:val="0"/>
      <w:marRight w:val="0"/>
      <w:marTop w:val="0"/>
      <w:marBottom w:val="0"/>
      <w:divBdr>
        <w:top w:val="none" w:sz="0" w:space="0" w:color="auto"/>
        <w:left w:val="none" w:sz="0" w:space="0" w:color="auto"/>
        <w:bottom w:val="none" w:sz="0" w:space="0" w:color="auto"/>
        <w:right w:val="none" w:sz="0" w:space="0" w:color="auto"/>
      </w:divBdr>
    </w:div>
    <w:div w:id="1893542205">
      <w:bodyDiv w:val="1"/>
      <w:marLeft w:val="0"/>
      <w:marRight w:val="0"/>
      <w:marTop w:val="0"/>
      <w:marBottom w:val="0"/>
      <w:divBdr>
        <w:top w:val="none" w:sz="0" w:space="0" w:color="auto"/>
        <w:left w:val="none" w:sz="0" w:space="0" w:color="auto"/>
        <w:bottom w:val="none" w:sz="0" w:space="0" w:color="auto"/>
        <w:right w:val="none" w:sz="0" w:space="0" w:color="auto"/>
      </w:divBdr>
    </w:div>
    <w:div w:id="2038694749">
      <w:bodyDiv w:val="1"/>
      <w:marLeft w:val="0"/>
      <w:marRight w:val="0"/>
      <w:marTop w:val="0"/>
      <w:marBottom w:val="0"/>
      <w:divBdr>
        <w:top w:val="none" w:sz="0" w:space="0" w:color="auto"/>
        <w:left w:val="none" w:sz="0" w:space="0" w:color="auto"/>
        <w:bottom w:val="none" w:sz="0" w:space="0" w:color="auto"/>
        <w:right w:val="none" w:sz="0" w:space="0" w:color="auto"/>
      </w:divBdr>
    </w:div>
    <w:div w:id="207489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c.gov.tw/cp.aspx?n=F76D008BCCD327E4&amp;s=855C223482EE983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銀行公會">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F9DAA-350D-407A-9FC0-A619CB63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21502</Words>
  <Characters>122566</Characters>
  <Application>Microsoft Office Word</Application>
  <DocSecurity>0</DocSecurity>
  <Lines>1021</Lines>
  <Paragraphs>287</Paragraphs>
  <ScaleCrop>false</ScaleCrop>
  <Company>Toshiba</Company>
  <LinksUpToDate>false</LinksUpToDate>
  <CharactersWithSpaces>143781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溫怡俐</dc:creator>
  <cp:lastModifiedBy>Winnie Wen</cp:lastModifiedBy>
  <cp:revision>6</cp:revision>
  <cp:lastPrinted>2018-10-30T02:20:00Z</cp:lastPrinted>
  <dcterms:created xsi:type="dcterms:W3CDTF">2021-03-15T06:28:00Z</dcterms:created>
  <dcterms:modified xsi:type="dcterms:W3CDTF">2021-03-23T10:59:00Z</dcterms:modified>
</cp:coreProperties>
</file>