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EEE" w:rsidRDefault="00AB3EBA" w:rsidP="0044060A">
      <w:pPr>
        <w:spacing w:afterLines="50" w:line="440" w:lineRule="exact"/>
        <w:jc w:val="center"/>
        <w:rPr>
          <w:rFonts w:eastAsia="標楷體"/>
          <w:b/>
          <w:sz w:val="32"/>
          <w:szCs w:val="32"/>
        </w:rPr>
      </w:pPr>
      <w:r w:rsidRPr="00D84C19">
        <w:rPr>
          <w:rFonts w:eastAsia="標楷體" w:hAnsi="標楷體"/>
          <w:b/>
          <w:sz w:val="32"/>
          <w:szCs w:val="32"/>
        </w:rPr>
        <w:t>「</w:t>
      </w:r>
      <w:r w:rsidR="00344335" w:rsidRPr="00D84C19">
        <w:rPr>
          <w:rFonts w:eastAsia="標楷體" w:hAnsi="標楷體"/>
          <w:b/>
          <w:sz w:val="32"/>
          <w:szCs w:val="32"/>
        </w:rPr>
        <w:t>銀行辦理衍生性金融商品自律規範</w:t>
      </w:r>
      <w:r w:rsidRPr="00D84C19">
        <w:rPr>
          <w:rFonts w:eastAsia="標楷體" w:hAnsi="標楷體"/>
          <w:b/>
          <w:sz w:val="32"/>
          <w:szCs w:val="32"/>
        </w:rPr>
        <w:t>」修正條文對照表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1"/>
        <w:gridCol w:w="4671"/>
        <w:gridCol w:w="4672"/>
      </w:tblGrid>
      <w:tr w:rsidR="00344335" w:rsidRPr="00D84C19" w:rsidTr="00FF5FA8">
        <w:trPr>
          <w:tblHeader/>
        </w:trPr>
        <w:tc>
          <w:tcPr>
            <w:tcW w:w="4671" w:type="dxa"/>
            <w:shd w:val="clear" w:color="auto" w:fill="auto"/>
          </w:tcPr>
          <w:p w:rsidR="00344335" w:rsidRPr="00D84C19" w:rsidRDefault="00344335" w:rsidP="005F04C5">
            <w:pPr>
              <w:spacing w:line="440" w:lineRule="exact"/>
              <w:jc w:val="center"/>
              <w:rPr>
                <w:rFonts w:eastAsia="標楷體"/>
                <w:b/>
                <w:sz w:val="28"/>
                <w:szCs w:val="28"/>
              </w:rPr>
            </w:pPr>
            <w:r w:rsidRPr="00D84C19">
              <w:rPr>
                <w:rFonts w:eastAsia="標楷體" w:hAnsi="標楷體"/>
                <w:b/>
                <w:sz w:val="28"/>
                <w:szCs w:val="28"/>
              </w:rPr>
              <w:t>修正條文</w:t>
            </w:r>
          </w:p>
        </w:tc>
        <w:tc>
          <w:tcPr>
            <w:tcW w:w="4671" w:type="dxa"/>
            <w:shd w:val="clear" w:color="auto" w:fill="auto"/>
          </w:tcPr>
          <w:p w:rsidR="00344335" w:rsidRPr="00D84C19" w:rsidRDefault="00344335" w:rsidP="005F04C5">
            <w:pPr>
              <w:spacing w:line="440" w:lineRule="exact"/>
              <w:jc w:val="center"/>
              <w:rPr>
                <w:rFonts w:eastAsia="標楷體"/>
                <w:b/>
                <w:sz w:val="28"/>
                <w:szCs w:val="28"/>
              </w:rPr>
            </w:pPr>
            <w:r w:rsidRPr="00D84C19">
              <w:rPr>
                <w:rFonts w:eastAsia="標楷體" w:hAnsi="標楷體"/>
                <w:b/>
                <w:sz w:val="28"/>
                <w:szCs w:val="28"/>
              </w:rPr>
              <w:t>原條文</w:t>
            </w:r>
          </w:p>
        </w:tc>
        <w:tc>
          <w:tcPr>
            <w:tcW w:w="4672" w:type="dxa"/>
            <w:shd w:val="clear" w:color="auto" w:fill="auto"/>
          </w:tcPr>
          <w:p w:rsidR="00344335" w:rsidRPr="00D84C19" w:rsidRDefault="00344335" w:rsidP="005F04C5">
            <w:pPr>
              <w:spacing w:line="440" w:lineRule="exact"/>
              <w:jc w:val="center"/>
              <w:rPr>
                <w:rFonts w:eastAsia="標楷體"/>
                <w:b/>
                <w:sz w:val="28"/>
                <w:szCs w:val="28"/>
              </w:rPr>
            </w:pPr>
            <w:r w:rsidRPr="00D84C19">
              <w:rPr>
                <w:rFonts w:eastAsia="標楷體" w:hAnsi="標楷體"/>
                <w:b/>
                <w:sz w:val="28"/>
                <w:szCs w:val="28"/>
              </w:rPr>
              <w:t>說明</w:t>
            </w:r>
          </w:p>
        </w:tc>
      </w:tr>
      <w:tr w:rsidR="00614FD8" w:rsidRPr="00D84C19" w:rsidTr="00FF5FA8">
        <w:tc>
          <w:tcPr>
            <w:tcW w:w="4671" w:type="dxa"/>
            <w:shd w:val="clear" w:color="auto" w:fill="auto"/>
          </w:tcPr>
          <w:p w:rsidR="008756A6" w:rsidRPr="00D84C19" w:rsidRDefault="001E658F" w:rsidP="008756A6">
            <w:pPr>
              <w:spacing w:line="440" w:lineRule="exact"/>
              <w:rPr>
                <w:rFonts w:eastAsia="標楷體"/>
                <w:sz w:val="28"/>
                <w:szCs w:val="28"/>
              </w:rPr>
            </w:pPr>
            <w:r w:rsidRPr="00D84C19">
              <w:rPr>
                <w:rFonts w:eastAsia="標楷體" w:hAnsi="標楷體"/>
                <w:sz w:val="28"/>
                <w:szCs w:val="28"/>
              </w:rPr>
              <w:t>第二之一條</w:t>
            </w:r>
          </w:p>
          <w:p w:rsidR="00614FD8" w:rsidRPr="00D84C19" w:rsidRDefault="008756A6" w:rsidP="008756A6">
            <w:pPr>
              <w:spacing w:line="440" w:lineRule="exact"/>
              <w:rPr>
                <w:rFonts w:eastAsia="標楷體"/>
                <w:b/>
                <w:sz w:val="28"/>
                <w:szCs w:val="28"/>
                <w:u w:val="single"/>
              </w:rPr>
            </w:pPr>
            <w:r w:rsidRPr="00D84C19">
              <w:rPr>
                <w:rFonts w:eastAsia="標楷體"/>
                <w:sz w:val="28"/>
                <w:szCs w:val="28"/>
              </w:rPr>
              <w:t xml:space="preserve">    </w:t>
            </w:r>
            <w:r w:rsidR="001E658F" w:rsidRPr="00D84C19">
              <w:rPr>
                <w:rFonts w:eastAsia="標楷體" w:hAnsi="標楷體"/>
                <w:b/>
                <w:sz w:val="28"/>
                <w:szCs w:val="28"/>
                <w:u w:val="single"/>
              </w:rPr>
              <w:t>銀行國際金融業務分行辦理衍生性金融商品業務，除不適用第二章及第三章規定外，應依本自律規範辦理。</w:t>
            </w:r>
          </w:p>
        </w:tc>
        <w:tc>
          <w:tcPr>
            <w:tcW w:w="4671" w:type="dxa"/>
            <w:shd w:val="clear" w:color="auto" w:fill="auto"/>
          </w:tcPr>
          <w:p w:rsidR="002C3725" w:rsidRPr="00D84C19" w:rsidRDefault="001E658F" w:rsidP="002C3725">
            <w:pPr>
              <w:spacing w:line="440" w:lineRule="exact"/>
              <w:rPr>
                <w:rFonts w:eastAsia="標楷體"/>
                <w:sz w:val="28"/>
                <w:szCs w:val="28"/>
              </w:rPr>
            </w:pPr>
            <w:r w:rsidRPr="00D84C19">
              <w:rPr>
                <w:rFonts w:eastAsia="標楷體" w:hAnsi="標楷體"/>
                <w:sz w:val="28"/>
                <w:szCs w:val="28"/>
              </w:rPr>
              <w:t>第二之一條</w:t>
            </w:r>
          </w:p>
          <w:p w:rsidR="00614FD8" w:rsidRPr="00D84C19" w:rsidRDefault="002C3725" w:rsidP="002C3725">
            <w:pPr>
              <w:spacing w:line="440" w:lineRule="exact"/>
              <w:rPr>
                <w:rFonts w:eastAsia="標楷體"/>
                <w:sz w:val="28"/>
                <w:szCs w:val="28"/>
              </w:rPr>
            </w:pPr>
            <w:r w:rsidRPr="00D84C19">
              <w:rPr>
                <w:rFonts w:eastAsia="標楷體"/>
                <w:sz w:val="28"/>
                <w:szCs w:val="28"/>
              </w:rPr>
              <w:t xml:space="preserve">    </w:t>
            </w:r>
            <w:r w:rsidR="001E658F" w:rsidRPr="00D84C19">
              <w:rPr>
                <w:rFonts w:eastAsia="標楷體" w:hAnsi="標楷體"/>
                <w:sz w:val="28"/>
                <w:szCs w:val="28"/>
              </w:rPr>
              <w:t>本自律規範之適用對象不包括中華民國境外之法人及自然人。</w:t>
            </w:r>
          </w:p>
        </w:tc>
        <w:tc>
          <w:tcPr>
            <w:tcW w:w="4672" w:type="dxa"/>
            <w:shd w:val="clear" w:color="auto" w:fill="auto"/>
          </w:tcPr>
          <w:p w:rsidR="00823D6B" w:rsidRDefault="00823D6B" w:rsidP="00823D6B">
            <w:pPr>
              <w:numPr>
                <w:ilvl w:val="0"/>
                <w:numId w:val="12"/>
              </w:numPr>
              <w:spacing w:line="440" w:lineRule="exact"/>
              <w:ind w:left="567" w:hanging="567"/>
              <w:rPr>
                <w:rFonts w:ascii="Cambria" w:eastAsia="標楷體" w:hAnsi="標楷體"/>
                <w:color w:val="000000"/>
                <w:sz w:val="28"/>
                <w:szCs w:val="28"/>
              </w:rPr>
            </w:pPr>
            <w:r w:rsidRPr="00823D6B">
              <w:rPr>
                <w:rFonts w:eastAsia="標楷體" w:hAnsi="標楷體" w:hint="eastAsia"/>
                <w:color w:val="000000"/>
                <w:sz w:val="28"/>
                <w:szCs w:val="28"/>
              </w:rPr>
              <w:t>依據金管會</w:t>
            </w:r>
            <w:r w:rsidRPr="00823D6B">
              <w:rPr>
                <w:rFonts w:eastAsia="標楷體" w:hAnsi="標楷體"/>
                <w:color w:val="000000"/>
                <w:sz w:val="28"/>
                <w:szCs w:val="28"/>
              </w:rPr>
              <w:t>104</w:t>
            </w:r>
            <w:r w:rsidRPr="00823D6B">
              <w:rPr>
                <w:rFonts w:eastAsia="標楷體" w:hAnsi="標楷體" w:hint="eastAsia"/>
                <w:color w:val="000000"/>
                <w:sz w:val="28"/>
                <w:szCs w:val="28"/>
              </w:rPr>
              <w:t>年</w:t>
            </w:r>
            <w:r w:rsidRPr="00823D6B">
              <w:rPr>
                <w:rFonts w:eastAsia="標楷體" w:hAnsi="標楷體"/>
                <w:color w:val="000000"/>
                <w:sz w:val="28"/>
                <w:szCs w:val="28"/>
              </w:rPr>
              <w:t>12</w:t>
            </w:r>
            <w:r w:rsidRPr="00823D6B">
              <w:rPr>
                <w:rFonts w:eastAsia="標楷體" w:hAnsi="標楷體" w:hint="eastAsia"/>
                <w:color w:val="000000"/>
                <w:sz w:val="28"/>
                <w:szCs w:val="28"/>
              </w:rPr>
              <w:t>月</w:t>
            </w:r>
            <w:r w:rsidRPr="00823D6B">
              <w:rPr>
                <w:rFonts w:eastAsia="標楷體" w:hAnsi="標楷體"/>
                <w:color w:val="000000"/>
                <w:sz w:val="28"/>
                <w:szCs w:val="28"/>
              </w:rPr>
              <w:t>9</w:t>
            </w:r>
            <w:r w:rsidRPr="00823D6B">
              <w:rPr>
                <w:rFonts w:eastAsia="標楷體" w:hAnsi="標楷體" w:hint="eastAsia"/>
                <w:color w:val="000000"/>
                <w:sz w:val="28"/>
                <w:szCs w:val="28"/>
              </w:rPr>
              <w:t>日金管銀外字第</w:t>
            </w:r>
            <w:r w:rsidRPr="00823D6B">
              <w:rPr>
                <w:rFonts w:eastAsia="標楷體" w:hAnsi="標楷體"/>
                <w:color w:val="000000"/>
                <w:sz w:val="28"/>
                <w:szCs w:val="28"/>
              </w:rPr>
              <w:t>10400953690</w:t>
            </w:r>
            <w:r w:rsidRPr="00823D6B">
              <w:rPr>
                <w:rFonts w:eastAsia="標楷體" w:hAnsi="標楷體" w:hint="eastAsia"/>
                <w:color w:val="000000"/>
                <w:sz w:val="28"/>
                <w:szCs w:val="28"/>
              </w:rPr>
              <w:t>號函，明訂</w:t>
            </w:r>
            <w:r w:rsidR="00841C5A">
              <w:rPr>
                <w:rFonts w:eastAsia="標楷體" w:hAnsi="標楷體" w:hint="eastAsia"/>
                <w:color w:val="000000"/>
                <w:sz w:val="28"/>
                <w:szCs w:val="28"/>
              </w:rPr>
              <w:t>國際金融業務分行</w:t>
            </w:r>
            <w:r w:rsidRPr="00823D6B">
              <w:rPr>
                <w:rFonts w:eastAsia="標楷體" w:hAnsi="標楷體" w:hint="eastAsia"/>
                <w:color w:val="000000"/>
                <w:sz w:val="28"/>
                <w:szCs w:val="28"/>
              </w:rPr>
              <w:t>辦理衍生性金融商品業務適用</w:t>
            </w:r>
            <w:r w:rsidR="00136665">
              <w:rPr>
                <w:rFonts w:eastAsia="標楷體" w:hAnsi="標楷體" w:hint="eastAsia"/>
                <w:color w:val="000000"/>
                <w:sz w:val="28"/>
                <w:szCs w:val="28"/>
              </w:rPr>
              <w:t>本</w:t>
            </w:r>
            <w:r w:rsidRPr="00823D6B">
              <w:rPr>
                <w:rFonts w:eastAsia="標楷體" w:hAnsi="標楷體" w:hint="eastAsia"/>
                <w:color w:val="000000"/>
                <w:sz w:val="28"/>
                <w:szCs w:val="28"/>
              </w:rPr>
              <w:t>自律規範</w:t>
            </w:r>
            <w:r w:rsidR="00136665">
              <w:rPr>
                <w:rFonts w:eastAsia="標楷體" w:hAnsi="標楷體" w:hint="eastAsia"/>
                <w:color w:val="000000"/>
                <w:sz w:val="28"/>
                <w:szCs w:val="28"/>
              </w:rPr>
              <w:t>之範圍</w:t>
            </w:r>
            <w:r w:rsidRPr="00823D6B">
              <w:rPr>
                <w:rFonts w:eastAsia="標楷體" w:hAnsi="標楷體" w:hint="eastAsia"/>
                <w:color w:val="000000"/>
                <w:sz w:val="28"/>
                <w:szCs w:val="28"/>
              </w:rPr>
              <w:t>。</w:t>
            </w:r>
          </w:p>
          <w:p w:rsidR="00823D6B" w:rsidRPr="00823D6B" w:rsidRDefault="008F3FB5" w:rsidP="00ED1073">
            <w:pPr>
              <w:numPr>
                <w:ilvl w:val="0"/>
                <w:numId w:val="12"/>
              </w:numPr>
              <w:spacing w:line="440" w:lineRule="exact"/>
              <w:ind w:left="567" w:hanging="567"/>
              <w:rPr>
                <w:rFonts w:eastAsia="標楷體"/>
                <w:color w:val="000000"/>
                <w:sz w:val="28"/>
                <w:szCs w:val="28"/>
              </w:rPr>
            </w:pPr>
            <w:r>
              <w:rPr>
                <w:rFonts w:eastAsia="標楷體" w:hAnsi="標楷體" w:hint="eastAsia"/>
                <w:color w:val="000000"/>
                <w:sz w:val="28"/>
                <w:szCs w:val="28"/>
              </w:rPr>
              <w:t>依</w:t>
            </w:r>
            <w:r w:rsidR="00ED1073">
              <w:rPr>
                <w:rFonts w:eastAsia="標楷體" w:hAnsi="標楷體" w:hint="eastAsia"/>
                <w:color w:val="000000"/>
                <w:sz w:val="28"/>
                <w:szCs w:val="28"/>
              </w:rPr>
              <w:t>據</w:t>
            </w:r>
            <w:r>
              <w:rPr>
                <w:rFonts w:eastAsia="標楷體" w:hAnsi="標楷體" w:hint="eastAsia"/>
                <w:color w:val="000000"/>
                <w:sz w:val="28"/>
                <w:szCs w:val="28"/>
              </w:rPr>
              <w:t>金管會</w:t>
            </w:r>
            <w:r>
              <w:rPr>
                <w:rFonts w:eastAsia="標楷體" w:hAnsi="標楷體" w:hint="eastAsia"/>
                <w:color w:val="000000"/>
                <w:sz w:val="28"/>
                <w:szCs w:val="28"/>
              </w:rPr>
              <w:t>104</w:t>
            </w:r>
            <w:r>
              <w:rPr>
                <w:rFonts w:eastAsia="標楷體" w:hAnsi="標楷體" w:hint="eastAsia"/>
                <w:color w:val="000000"/>
                <w:sz w:val="28"/>
                <w:szCs w:val="28"/>
              </w:rPr>
              <w:t>年</w:t>
            </w:r>
            <w:r>
              <w:rPr>
                <w:rFonts w:eastAsia="標楷體" w:hAnsi="標楷體" w:hint="eastAsia"/>
                <w:color w:val="000000"/>
                <w:sz w:val="28"/>
                <w:szCs w:val="28"/>
              </w:rPr>
              <w:t>7</w:t>
            </w:r>
            <w:r>
              <w:rPr>
                <w:rFonts w:eastAsia="標楷體" w:hAnsi="標楷體" w:hint="eastAsia"/>
                <w:color w:val="000000"/>
                <w:sz w:val="28"/>
                <w:szCs w:val="28"/>
              </w:rPr>
              <w:t>月</w:t>
            </w:r>
            <w:r>
              <w:rPr>
                <w:rFonts w:eastAsia="標楷體" w:hAnsi="標楷體" w:hint="eastAsia"/>
                <w:color w:val="000000"/>
                <w:sz w:val="28"/>
                <w:szCs w:val="28"/>
              </w:rPr>
              <w:t>31</w:t>
            </w:r>
            <w:r>
              <w:rPr>
                <w:rFonts w:eastAsia="標楷體" w:hAnsi="標楷體" w:hint="eastAsia"/>
                <w:color w:val="000000"/>
                <w:sz w:val="28"/>
                <w:szCs w:val="28"/>
              </w:rPr>
              <w:t>日金管銀外字</w:t>
            </w:r>
            <w:r>
              <w:rPr>
                <w:rFonts w:eastAsia="標楷體" w:hAnsi="標楷體" w:hint="eastAsia"/>
                <w:color w:val="000000"/>
                <w:sz w:val="28"/>
                <w:szCs w:val="28"/>
              </w:rPr>
              <w:t>10400165790</w:t>
            </w:r>
            <w:r>
              <w:rPr>
                <w:rFonts w:eastAsia="標楷體" w:hAnsi="標楷體" w:hint="eastAsia"/>
                <w:color w:val="000000"/>
                <w:sz w:val="28"/>
                <w:szCs w:val="28"/>
              </w:rPr>
              <w:t>號令，國際金融業務分行得不適用「銀行辦理衍生性金融商品業務內部作業制度及程序管理辦法」</w:t>
            </w:r>
            <w:r w:rsidR="00B75D64">
              <w:rPr>
                <w:rFonts w:ascii="標楷體" w:eastAsia="標楷體" w:hAnsi="標楷體" w:hint="eastAsia"/>
                <w:color w:val="000000"/>
                <w:sz w:val="28"/>
                <w:szCs w:val="28"/>
              </w:rPr>
              <w:t>（以下簡稱衍商管理辦法）</w:t>
            </w:r>
            <w:r>
              <w:rPr>
                <w:rFonts w:eastAsia="標楷體" w:hAnsi="標楷體" w:hint="eastAsia"/>
                <w:color w:val="000000"/>
                <w:sz w:val="28"/>
                <w:szCs w:val="28"/>
              </w:rPr>
              <w:t>第</w:t>
            </w:r>
            <w:r>
              <w:rPr>
                <w:rFonts w:eastAsia="標楷體" w:hAnsi="標楷體" w:hint="eastAsia"/>
                <w:color w:val="000000"/>
                <w:sz w:val="28"/>
                <w:szCs w:val="28"/>
              </w:rPr>
              <w:t>30</w:t>
            </w:r>
            <w:r>
              <w:rPr>
                <w:rFonts w:eastAsia="標楷體" w:hAnsi="標楷體" w:hint="eastAsia"/>
                <w:color w:val="000000"/>
                <w:sz w:val="28"/>
                <w:szCs w:val="28"/>
              </w:rPr>
              <w:t>條第</w:t>
            </w:r>
            <w:r>
              <w:rPr>
                <w:rFonts w:eastAsia="標楷體" w:hAnsi="標楷體" w:hint="eastAsia"/>
                <w:color w:val="000000"/>
                <w:sz w:val="28"/>
                <w:szCs w:val="28"/>
              </w:rPr>
              <w:t>2</w:t>
            </w:r>
            <w:r>
              <w:rPr>
                <w:rFonts w:eastAsia="標楷體" w:hAnsi="標楷體" w:hint="eastAsia"/>
                <w:color w:val="000000"/>
                <w:sz w:val="28"/>
                <w:szCs w:val="28"/>
              </w:rPr>
              <w:t>項及第</w:t>
            </w:r>
            <w:r>
              <w:rPr>
                <w:rFonts w:eastAsia="標楷體" w:hAnsi="標楷體" w:hint="eastAsia"/>
                <w:color w:val="000000"/>
                <w:sz w:val="28"/>
                <w:szCs w:val="28"/>
              </w:rPr>
              <w:t>35</w:t>
            </w:r>
            <w:r>
              <w:rPr>
                <w:rFonts w:eastAsia="標楷體" w:hAnsi="標楷體" w:hint="eastAsia"/>
                <w:color w:val="000000"/>
                <w:sz w:val="28"/>
                <w:szCs w:val="28"/>
              </w:rPr>
              <w:t>條規定</w:t>
            </w:r>
            <w:r w:rsidR="00ED1073">
              <w:rPr>
                <w:rFonts w:eastAsia="標楷體" w:hAnsi="標楷體" w:hint="eastAsia"/>
                <w:color w:val="000000"/>
                <w:sz w:val="28"/>
                <w:szCs w:val="28"/>
              </w:rPr>
              <w:t>(</w:t>
            </w:r>
            <w:r w:rsidR="00ED1073">
              <w:rPr>
                <w:rFonts w:eastAsia="標楷體" w:hAnsi="標楷體" w:hint="eastAsia"/>
                <w:color w:val="000000"/>
                <w:sz w:val="28"/>
                <w:szCs w:val="28"/>
              </w:rPr>
              <w:t>本自律規範第二章及第三章之法源</w:t>
            </w:r>
            <w:r w:rsidR="00ED1073">
              <w:rPr>
                <w:rFonts w:eastAsia="標楷體" w:hAnsi="標楷體" w:hint="eastAsia"/>
                <w:color w:val="000000"/>
                <w:sz w:val="28"/>
                <w:szCs w:val="28"/>
              </w:rPr>
              <w:t>)</w:t>
            </w:r>
            <w:r w:rsidR="00DE6262">
              <w:rPr>
                <w:rFonts w:eastAsia="標楷體" w:hAnsi="標楷體" w:hint="eastAsia"/>
                <w:color w:val="000000"/>
                <w:sz w:val="28"/>
                <w:szCs w:val="28"/>
              </w:rPr>
              <w:t>。</w:t>
            </w:r>
            <w:r w:rsidR="00ED1073">
              <w:rPr>
                <w:rFonts w:eastAsia="標楷體" w:hAnsi="標楷體" w:hint="eastAsia"/>
                <w:color w:val="000000"/>
                <w:sz w:val="28"/>
                <w:szCs w:val="28"/>
              </w:rPr>
              <w:t>據此，</w:t>
            </w:r>
            <w:r w:rsidR="00ED1073" w:rsidRPr="00ED1073">
              <w:rPr>
                <w:rFonts w:eastAsia="標楷體" w:hAnsi="標楷體" w:hint="eastAsia"/>
                <w:color w:val="000000"/>
                <w:sz w:val="28"/>
                <w:szCs w:val="28"/>
              </w:rPr>
              <w:t>銀行國際金融業務分行辦理衍生性金融商品業務</w:t>
            </w:r>
            <w:r w:rsidR="00ED1073">
              <w:rPr>
                <w:rFonts w:eastAsia="標楷體" w:hAnsi="標楷體" w:hint="eastAsia"/>
                <w:color w:val="000000"/>
                <w:sz w:val="28"/>
                <w:szCs w:val="28"/>
              </w:rPr>
              <w:t>得不適用</w:t>
            </w:r>
            <w:r w:rsidR="009952EC">
              <w:rPr>
                <w:rFonts w:eastAsia="標楷體" w:hAnsi="標楷體" w:hint="eastAsia"/>
                <w:color w:val="000000"/>
                <w:sz w:val="28"/>
                <w:szCs w:val="28"/>
              </w:rPr>
              <w:t>本自律規範</w:t>
            </w:r>
            <w:r w:rsidR="00ED1073">
              <w:rPr>
                <w:rFonts w:eastAsia="標楷體" w:hAnsi="標楷體" w:hint="eastAsia"/>
                <w:color w:val="000000"/>
                <w:sz w:val="28"/>
                <w:szCs w:val="28"/>
              </w:rPr>
              <w:t>第二章及第三章</w:t>
            </w:r>
            <w:r>
              <w:rPr>
                <w:rFonts w:eastAsia="標楷體" w:hAnsi="標楷體" w:hint="eastAsia"/>
                <w:color w:val="000000"/>
                <w:sz w:val="28"/>
                <w:szCs w:val="28"/>
              </w:rPr>
              <w:t>。</w:t>
            </w:r>
          </w:p>
        </w:tc>
      </w:tr>
      <w:tr w:rsidR="00344335" w:rsidRPr="00D84C19" w:rsidTr="00FF5FA8">
        <w:tc>
          <w:tcPr>
            <w:tcW w:w="4671" w:type="dxa"/>
            <w:shd w:val="clear" w:color="auto" w:fill="auto"/>
          </w:tcPr>
          <w:p w:rsidR="001F76DC" w:rsidRDefault="00A46FFF" w:rsidP="0044060A">
            <w:pPr>
              <w:pStyle w:val="ab"/>
              <w:kinsoku w:val="0"/>
              <w:snapToGrid w:val="0"/>
              <w:spacing w:beforeLines="20" w:line="400" w:lineRule="exact"/>
              <w:ind w:left="0"/>
              <w:rPr>
                <w:rFonts w:ascii="Cambria" w:hAnsi="Cambria"/>
                <w:color w:val="000000"/>
                <w:sz w:val="28"/>
                <w:szCs w:val="28"/>
              </w:rPr>
            </w:pPr>
            <w:r w:rsidRPr="00D84C19">
              <w:rPr>
                <w:rFonts w:hAnsi="標楷體"/>
                <w:color w:val="000000"/>
                <w:sz w:val="28"/>
                <w:szCs w:val="28"/>
              </w:rPr>
              <w:t>第二十五條</w:t>
            </w:r>
          </w:p>
          <w:p w:rsidR="001F76DC" w:rsidRDefault="00A46FFF" w:rsidP="0044060A">
            <w:pPr>
              <w:pStyle w:val="ab"/>
              <w:kinsoku w:val="0"/>
              <w:snapToGrid w:val="0"/>
              <w:spacing w:beforeLines="20" w:line="360" w:lineRule="exact"/>
              <w:ind w:left="0"/>
              <w:rPr>
                <w:rFonts w:ascii="Cambria" w:hAnsi="Cambria"/>
                <w:sz w:val="28"/>
                <w:szCs w:val="28"/>
              </w:rPr>
            </w:pPr>
            <w:r w:rsidRPr="00D84C19">
              <w:rPr>
                <w:color w:val="000000"/>
                <w:sz w:val="28"/>
                <w:szCs w:val="28"/>
              </w:rPr>
              <w:t xml:space="preserve">    </w:t>
            </w:r>
            <w:r w:rsidR="001E658F" w:rsidRPr="00D84C19">
              <w:rPr>
                <w:rFonts w:hAnsi="標楷體"/>
                <w:sz w:val="28"/>
                <w:szCs w:val="28"/>
              </w:rPr>
              <w:t>銀行向專業機構投資人</w:t>
            </w:r>
            <w:r w:rsidR="001E658F" w:rsidRPr="00D84C19">
              <w:rPr>
                <w:rFonts w:hAnsi="標楷體"/>
                <w:b/>
                <w:sz w:val="28"/>
                <w:szCs w:val="28"/>
                <w:u w:val="single"/>
              </w:rPr>
              <w:t>及高淨值投資法人以外</w:t>
            </w:r>
            <w:r w:rsidR="001E658F" w:rsidRPr="00D84C19">
              <w:rPr>
                <w:rFonts w:hAnsi="標楷體"/>
                <w:sz w:val="28"/>
                <w:szCs w:val="28"/>
              </w:rPr>
              <w:t>之專業客戶及一般客戶提供非屬結構型商品之衍生性金融商品交易服務，銀行就商品適合度建立之內部作業程序</w:t>
            </w:r>
            <w:r w:rsidR="00D5371B" w:rsidRPr="00D84C19">
              <w:rPr>
                <w:rFonts w:hAnsi="標楷體"/>
                <w:b/>
                <w:sz w:val="28"/>
                <w:szCs w:val="28"/>
                <w:u w:val="single"/>
              </w:rPr>
              <w:t>，至少應包含</w:t>
            </w:r>
            <w:r w:rsidR="00D5371B" w:rsidRPr="00D84C19">
              <w:rPr>
                <w:rFonts w:hAnsi="標楷體"/>
                <w:b/>
                <w:sz w:val="28"/>
                <w:szCs w:val="28"/>
                <w:u w:val="single"/>
              </w:rPr>
              <w:lastRenderedPageBreak/>
              <w:t>客戶屬性與</w:t>
            </w:r>
            <w:r w:rsidR="00D5371B" w:rsidRPr="00D84C19">
              <w:rPr>
                <w:rFonts w:hAnsi="標楷體"/>
                <w:sz w:val="28"/>
                <w:szCs w:val="28"/>
                <w:u w:val="single"/>
              </w:rPr>
              <w:t>交易目的評估</w:t>
            </w:r>
            <w:r w:rsidR="00D5371B" w:rsidRPr="00D84C19">
              <w:rPr>
                <w:rFonts w:hAnsi="標楷體"/>
                <w:b/>
                <w:sz w:val="28"/>
                <w:szCs w:val="28"/>
                <w:u w:val="single"/>
              </w:rPr>
              <w:t>、客戶分級與</w:t>
            </w:r>
            <w:r w:rsidR="00D5371B" w:rsidRPr="00D84C19">
              <w:rPr>
                <w:rFonts w:hAnsi="標楷體"/>
                <w:sz w:val="28"/>
                <w:szCs w:val="28"/>
                <w:u w:val="single"/>
              </w:rPr>
              <w:t>商品分級依據、商品風險分類及風險集中度控管機制。</w:t>
            </w:r>
          </w:p>
          <w:p w:rsidR="001F76DC" w:rsidRDefault="00D5371B" w:rsidP="0044060A">
            <w:pPr>
              <w:pStyle w:val="ab"/>
              <w:kinsoku w:val="0"/>
              <w:snapToGrid w:val="0"/>
              <w:spacing w:beforeLines="20" w:line="400" w:lineRule="exact"/>
              <w:ind w:left="0" w:firstLineChars="200" w:firstLine="561"/>
              <w:rPr>
                <w:rFonts w:ascii="Cambria" w:hAnsi="標楷體"/>
                <w:sz w:val="28"/>
                <w:szCs w:val="28"/>
              </w:rPr>
            </w:pPr>
            <w:r w:rsidRPr="00D84C19">
              <w:rPr>
                <w:rFonts w:hAnsi="標楷體"/>
                <w:b/>
                <w:sz w:val="28"/>
                <w:szCs w:val="28"/>
                <w:u w:val="single"/>
              </w:rPr>
              <w:t>前項內部作業程序</w:t>
            </w:r>
            <w:r w:rsidRPr="00D84C19">
              <w:rPr>
                <w:rFonts w:hAnsi="標楷體"/>
                <w:sz w:val="28"/>
                <w:szCs w:val="28"/>
              </w:rPr>
              <w:t>應依</w:t>
            </w:r>
            <w:r w:rsidR="001E658F" w:rsidRPr="00D84C19">
              <w:rPr>
                <w:rFonts w:hAnsi="標楷體"/>
                <w:sz w:val="28"/>
                <w:szCs w:val="28"/>
              </w:rPr>
              <w:t>下列原則辦理：</w:t>
            </w:r>
          </w:p>
          <w:p w:rsidR="001F76DC" w:rsidRDefault="001E658F" w:rsidP="0044060A">
            <w:pPr>
              <w:pStyle w:val="ab"/>
              <w:kinsoku w:val="0"/>
              <w:snapToGrid w:val="0"/>
              <w:spacing w:beforeLines="20" w:line="360" w:lineRule="exact"/>
              <w:ind w:left="538" w:hangingChars="192" w:hanging="538"/>
              <w:rPr>
                <w:b/>
                <w:sz w:val="28"/>
                <w:szCs w:val="28"/>
                <w:u w:val="single"/>
              </w:rPr>
            </w:pPr>
            <w:r w:rsidRPr="00D84C19">
              <w:rPr>
                <w:rFonts w:hAnsi="標楷體"/>
                <w:sz w:val="28"/>
                <w:szCs w:val="28"/>
              </w:rPr>
              <w:t>一、建立商品風險分級制度，且分級方式應考量多重風險因子，例如波動幅度、連結標的資產類別及產品天期等。</w:t>
            </w:r>
            <w:r w:rsidRPr="00D84C19">
              <w:rPr>
                <w:rFonts w:hAnsi="標楷體"/>
                <w:b/>
                <w:sz w:val="28"/>
                <w:szCs w:val="28"/>
                <w:u w:val="single"/>
              </w:rPr>
              <w:t>如屬複雜性高風險商品及其他經主管機關核定</w:t>
            </w:r>
            <w:r w:rsidR="00D5371B" w:rsidRPr="00D84C19">
              <w:rPr>
                <w:rFonts w:hAnsi="標楷體"/>
                <w:b/>
                <w:sz w:val="28"/>
                <w:szCs w:val="28"/>
                <w:u w:val="single"/>
              </w:rPr>
              <w:t>之商品類型</w:t>
            </w:r>
            <w:r w:rsidRPr="00D84C19">
              <w:rPr>
                <w:rFonts w:hAnsi="標楷體"/>
                <w:b/>
                <w:sz w:val="28"/>
                <w:szCs w:val="28"/>
                <w:u w:val="single"/>
              </w:rPr>
              <w:t>，應核予該商品最高風險評級。</w:t>
            </w:r>
          </w:p>
          <w:p w:rsidR="001F76DC" w:rsidRDefault="001F76DC" w:rsidP="00267317">
            <w:pPr>
              <w:pStyle w:val="ab"/>
              <w:kinsoku w:val="0"/>
              <w:snapToGrid w:val="0"/>
              <w:spacing w:before="72" w:line="340" w:lineRule="exact"/>
              <w:ind w:left="538" w:hangingChars="192" w:hanging="538"/>
              <w:rPr>
                <w:b/>
                <w:sz w:val="28"/>
                <w:szCs w:val="28"/>
                <w:u w:val="single"/>
              </w:rPr>
            </w:pPr>
          </w:p>
          <w:p w:rsidR="001F76DC" w:rsidRDefault="001F76DC" w:rsidP="00267317">
            <w:pPr>
              <w:pStyle w:val="ab"/>
              <w:kinsoku w:val="0"/>
              <w:snapToGrid w:val="0"/>
              <w:spacing w:before="72" w:line="340" w:lineRule="exact"/>
              <w:ind w:left="538" w:hangingChars="192" w:hanging="538"/>
              <w:rPr>
                <w:b/>
                <w:sz w:val="28"/>
                <w:szCs w:val="28"/>
                <w:u w:val="single"/>
              </w:rPr>
            </w:pPr>
          </w:p>
          <w:p w:rsidR="001F76DC" w:rsidRDefault="001F76DC" w:rsidP="00267317">
            <w:pPr>
              <w:pStyle w:val="ab"/>
              <w:kinsoku w:val="0"/>
              <w:snapToGrid w:val="0"/>
              <w:spacing w:before="72" w:line="340" w:lineRule="exact"/>
              <w:ind w:left="538" w:hangingChars="192" w:hanging="538"/>
              <w:rPr>
                <w:b/>
                <w:sz w:val="28"/>
                <w:szCs w:val="28"/>
                <w:u w:val="single"/>
              </w:rPr>
            </w:pPr>
          </w:p>
          <w:p w:rsidR="001F76DC" w:rsidRDefault="001F76DC" w:rsidP="00267317">
            <w:pPr>
              <w:pStyle w:val="ab"/>
              <w:kinsoku w:val="0"/>
              <w:snapToGrid w:val="0"/>
              <w:spacing w:before="72" w:line="340" w:lineRule="exact"/>
              <w:ind w:left="538" w:hangingChars="192" w:hanging="538"/>
              <w:rPr>
                <w:b/>
                <w:sz w:val="28"/>
                <w:szCs w:val="28"/>
                <w:u w:val="single"/>
              </w:rPr>
            </w:pPr>
          </w:p>
          <w:p w:rsidR="001F76DC" w:rsidRDefault="001F76DC" w:rsidP="00267317">
            <w:pPr>
              <w:pStyle w:val="ab"/>
              <w:kinsoku w:val="0"/>
              <w:snapToGrid w:val="0"/>
              <w:spacing w:before="72" w:line="340" w:lineRule="exact"/>
              <w:ind w:left="538" w:hangingChars="192" w:hanging="538"/>
              <w:rPr>
                <w:b/>
                <w:sz w:val="28"/>
                <w:szCs w:val="28"/>
                <w:u w:val="single"/>
              </w:rPr>
            </w:pPr>
          </w:p>
          <w:p w:rsidR="001F76DC" w:rsidRDefault="001F76DC" w:rsidP="00267317">
            <w:pPr>
              <w:pStyle w:val="ab"/>
              <w:kinsoku w:val="0"/>
              <w:snapToGrid w:val="0"/>
              <w:spacing w:before="72" w:line="340" w:lineRule="exact"/>
              <w:ind w:left="538" w:hangingChars="192" w:hanging="538"/>
              <w:rPr>
                <w:b/>
                <w:sz w:val="28"/>
                <w:szCs w:val="28"/>
                <w:u w:val="single"/>
              </w:rPr>
            </w:pPr>
          </w:p>
          <w:p w:rsidR="001F76DC" w:rsidRDefault="001F76DC" w:rsidP="00267317">
            <w:pPr>
              <w:pStyle w:val="ab"/>
              <w:kinsoku w:val="0"/>
              <w:snapToGrid w:val="0"/>
              <w:spacing w:before="72" w:line="340" w:lineRule="exact"/>
              <w:ind w:left="538" w:hangingChars="192" w:hanging="538"/>
              <w:rPr>
                <w:b/>
                <w:sz w:val="28"/>
                <w:szCs w:val="28"/>
                <w:u w:val="single"/>
              </w:rPr>
            </w:pPr>
          </w:p>
          <w:p w:rsidR="001F76DC" w:rsidRDefault="001F76DC" w:rsidP="00267317">
            <w:pPr>
              <w:pStyle w:val="ab"/>
              <w:kinsoku w:val="0"/>
              <w:snapToGrid w:val="0"/>
              <w:spacing w:before="72" w:line="340" w:lineRule="exact"/>
              <w:ind w:left="538" w:hangingChars="192" w:hanging="538"/>
              <w:rPr>
                <w:b/>
                <w:sz w:val="28"/>
                <w:szCs w:val="28"/>
                <w:u w:val="single"/>
              </w:rPr>
            </w:pPr>
          </w:p>
          <w:p w:rsidR="001F76DC" w:rsidRDefault="001F76DC" w:rsidP="004E6D46">
            <w:pPr>
              <w:pStyle w:val="ab"/>
              <w:kinsoku w:val="0"/>
              <w:snapToGrid w:val="0"/>
              <w:spacing w:before="72" w:line="600" w:lineRule="exact"/>
              <w:ind w:left="538" w:hangingChars="192" w:hanging="538"/>
              <w:rPr>
                <w:b/>
                <w:sz w:val="28"/>
                <w:szCs w:val="28"/>
                <w:u w:val="single"/>
              </w:rPr>
            </w:pPr>
          </w:p>
          <w:p w:rsidR="001F76DC" w:rsidRDefault="001E658F" w:rsidP="0044060A">
            <w:pPr>
              <w:pStyle w:val="ab"/>
              <w:kinsoku w:val="0"/>
              <w:snapToGrid w:val="0"/>
              <w:spacing w:beforeLines="20" w:line="360" w:lineRule="exact"/>
              <w:ind w:left="538" w:hangingChars="192" w:hanging="538"/>
              <w:rPr>
                <w:sz w:val="28"/>
                <w:szCs w:val="28"/>
              </w:rPr>
            </w:pPr>
            <w:r w:rsidRPr="00D84C19">
              <w:rPr>
                <w:rFonts w:hAnsi="標楷體"/>
                <w:b/>
                <w:sz w:val="28"/>
                <w:szCs w:val="28"/>
                <w:u w:val="single"/>
              </w:rPr>
              <w:t>二、</w:t>
            </w:r>
            <w:r w:rsidRPr="00D84C19">
              <w:rPr>
                <w:rFonts w:hAnsi="標楷體"/>
                <w:sz w:val="28"/>
                <w:szCs w:val="28"/>
              </w:rPr>
              <w:t>核給客戶衍生性金融商品額度或進行額度展延時，銀行應透過聯徵中心查詢或請客戶提供與其他金融機構承作衍生性金融商</w:t>
            </w:r>
            <w:r w:rsidRPr="00D84C19">
              <w:rPr>
                <w:rFonts w:hAnsi="標楷體"/>
                <w:sz w:val="28"/>
                <w:szCs w:val="28"/>
              </w:rPr>
              <w:lastRenderedPageBreak/>
              <w:t>品之額度。</w:t>
            </w:r>
          </w:p>
          <w:p w:rsidR="001F76DC" w:rsidRDefault="001E658F" w:rsidP="0044060A">
            <w:pPr>
              <w:pStyle w:val="ab"/>
              <w:kinsoku w:val="0"/>
              <w:snapToGrid w:val="0"/>
              <w:spacing w:beforeLines="20" w:line="360" w:lineRule="exact"/>
              <w:ind w:left="538" w:hangingChars="192" w:hanging="538"/>
              <w:rPr>
                <w:b/>
                <w:sz w:val="28"/>
                <w:szCs w:val="28"/>
                <w:u w:val="single"/>
              </w:rPr>
            </w:pPr>
            <w:r w:rsidRPr="00D84C19">
              <w:rPr>
                <w:rFonts w:hAnsi="標楷體"/>
                <w:b/>
                <w:sz w:val="28"/>
                <w:szCs w:val="28"/>
                <w:u w:val="single"/>
              </w:rPr>
              <w:t>三、</w:t>
            </w:r>
            <w:r w:rsidRPr="00D84C19">
              <w:rPr>
                <w:rFonts w:hAnsi="標楷體"/>
                <w:sz w:val="28"/>
                <w:szCs w:val="28"/>
              </w:rPr>
              <w:t>應考量客戶之營業收入、淨值、與其他銀行交易額度等因素，審慎衡酌客戶</w:t>
            </w:r>
            <w:r w:rsidRPr="00D84C19">
              <w:rPr>
                <w:rFonts w:hAnsi="標楷體"/>
                <w:b/>
                <w:sz w:val="28"/>
                <w:szCs w:val="28"/>
                <w:u w:val="single"/>
              </w:rPr>
              <w:t>需求及</w:t>
            </w:r>
            <w:r w:rsidRPr="00D84C19">
              <w:rPr>
                <w:rFonts w:hAnsi="標楷體"/>
                <w:sz w:val="28"/>
                <w:szCs w:val="28"/>
              </w:rPr>
              <w:t>承受風險能力，核給客戶交易額度。</w:t>
            </w:r>
            <w:r w:rsidR="009612E2" w:rsidRPr="008F6367">
              <w:rPr>
                <w:rFonts w:hint="eastAsia"/>
                <w:b/>
                <w:sz w:val="28"/>
                <w:szCs w:val="28"/>
                <w:u w:val="single"/>
              </w:rPr>
              <w:t>針對</w:t>
            </w:r>
            <w:r w:rsidR="00786858" w:rsidRPr="00C348F0">
              <w:rPr>
                <w:rFonts w:hint="eastAsia"/>
                <w:b/>
                <w:sz w:val="28"/>
                <w:szCs w:val="28"/>
                <w:u w:val="single"/>
              </w:rPr>
              <w:t>非以避險為目的</w:t>
            </w:r>
            <w:r w:rsidR="00CF4797" w:rsidRPr="00C348F0">
              <w:rPr>
                <w:rFonts w:hint="eastAsia"/>
                <w:b/>
                <w:sz w:val="28"/>
                <w:szCs w:val="28"/>
                <w:u w:val="single"/>
              </w:rPr>
              <w:t>之客戶</w:t>
            </w:r>
            <w:r w:rsidR="009612E2" w:rsidRPr="00C348F0">
              <w:rPr>
                <w:rFonts w:hint="eastAsia"/>
                <w:b/>
                <w:sz w:val="28"/>
                <w:szCs w:val="28"/>
                <w:u w:val="single"/>
              </w:rPr>
              <w:t>除</w:t>
            </w:r>
            <w:r w:rsidR="000A081B" w:rsidRPr="00C348F0">
              <w:rPr>
                <w:rFonts w:hint="eastAsia"/>
                <w:b/>
                <w:sz w:val="28"/>
                <w:szCs w:val="28"/>
                <w:u w:val="single"/>
              </w:rPr>
              <w:t>訂定</w:t>
            </w:r>
            <w:r w:rsidR="00CF4797" w:rsidRPr="00C348F0">
              <w:rPr>
                <w:rFonts w:hint="eastAsia"/>
                <w:b/>
                <w:sz w:val="28"/>
                <w:szCs w:val="28"/>
                <w:u w:val="single"/>
              </w:rPr>
              <w:t>徵提期初保證金</w:t>
            </w:r>
            <w:r w:rsidR="00E03DE6" w:rsidRPr="00C348F0">
              <w:rPr>
                <w:rFonts w:hint="eastAsia"/>
                <w:b/>
                <w:sz w:val="28"/>
                <w:szCs w:val="28"/>
                <w:u w:val="single"/>
              </w:rPr>
              <w:t>及追繳保證金</w:t>
            </w:r>
            <w:r w:rsidR="00236168" w:rsidRPr="00C348F0">
              <w:rPr>
                <w:rFonts w:hint="eastAsia"/>
                <w:b/>
                <w:sz w:val="28"/>
                <w:szCs w:val="28"/>
                <w:u w:val="single"/>
              </w:rPr>
              <w:t>機制</w:t>
            </w:r>
            <w:r w:rsidR="0070305D">
              <w:rPr>
                <w:rFonts w:hint="eastAsia"/>
                <w:b/>
                <w:sz w:val="28"/>
                <w:szCs w:val="28"/>
                <w:u w:val="single"/>
              </w:rPr>
              <w:t>外</w:t>
            </w:r>
            <w:r w:rsidR="00E03DE6" w:rsidRPr="00C348F0">
              <w:rPr>
                <w:rFonts w:hint="eastAsia"/>
                <w:b/>
                <w:sz w:val="28"/>
                <w:szCs w:val="28"/>
                <w:u w:val="single"/>
              </w:rPr>
              <w:t>，得</w:t>
            </w:r>
            <w:r w:rsidR="00EA6474" w:rsidRPr="00C348F0">
              <w:rPr>
                <w:rFonts w:hint="eastAsia"/>
                <w:b/>
                <w:sz w:val="28"/>
                <w:szCs w:val="28"/>
                <w:u w:val="single"/>
              </w:rPr>
              <w:t>另</w:t>
            </w:r>
            <w:r w:rsidR="000A081B" w:rsidRPr="00C348F0">
              <w:rPr>
                <w:rFonts w:hint="eastAsia"/>
                <w:b/>
                <w:sz w:val="28"/>
                <w:szCs w:val="28"/>
                <w:u w:val="single"/>
              </w:rPr>
              <w:t>設有徵提</w:t>
            </w:r>
            <w:r w:rsidR="00E03DE6" w:rsidRPr="00C348F0">
              <w:rPr>
                <w:rFonts w:hint="eastAsia"/>
                <w:b/>
                <w:sz w:val="28"/>
                <w:szCs w:val="28"/>
                <w:u w:val="single"/>
              </w:rPr>
              <w:t>擔保品機制。</w:t>
            </w:r>
          </w:p>
          <w:p w:rsidR="001F76DC" w:rsidRDefault="001F76DC" w:rsidP="00267317">
            <w:pPr>
              <w:pStyle w:val="ab"/>
              <w:kinsoku w:val="0"/>
              <w:snapToGrid w:val="0"/>
              <w:spacing w:before="72" w:line="300" w:lineRule="exact"/>
              <w:ind w:left="462" w:hangingChars="165" w:hanging="462"/>
              <w:rPr>
                <w:rFonts w:hAnsi="標楷體"/>
                <w:b/>
                <w:sz w:val="28"/>
                <w:szCs w:val="28"/>
                <w:u w:val="single"/>
              </w:rPr>
            </w:pPr>
          </w:p>
          <w:p w:rsidR="001F76DC" w:rsidRDefault="001E658F" w:rsidP="0044060A">
            <w:pPr>
              <w:pStyle w:val="ab"/>
              <w:kinsoku w:val="0"/>
              <w:snapToGrid w:val="0"/>
              <w:spacing w:beforeLines="20" w:line="360" w:lineRule="exact"/>
              <w:ind w:left="462" w:hangingChars="165" w:hanging="462"/>
              <w:rPr>
                <w:b/>
                <w:sz w:val="28"/>
                <w:szCs w:val="28"/>
                <w:u w:val="single"/>
              </w:rPr>
            </w:pPr>
            <w:r w:rsidRPr="00D84C19">
              <w:rPr>
                <w:rFonts w:hAnsi="標楷體"/>
                <w:b/>
                <w:sz w:val="28"/>
                <w:szCs w:val="28"/>
                <w:u w:val="single"/>
              </w:rPr>
              <w:t>四、提供予客戶之交易文件應以文字或情境分析說明交易損益之可能變動情形。除</w:t>
            </w:r>
            <w:r w:rsidR="00353CC1" w:rsidRPr="00D84C19">
              <w:rPr>
                <w:rFonts w:hAnsi="標楷體"/>
                <w:b/>
                <w:sz w:val="28"/>
                <w:szCs w:val="28"/>
                <w:u w:val="single"/>
              </w:rPr>
              <w:t>賣出選擇權、</w:t>
            </w:r>
            <w:r w:rsidRPr="00D84C19">
              <w:rPr>
                <w:rFonts w:hAnsi="標楷體"/>
                <w:b/>
                <w:sz w:val="28"/>
                <w:szCs w:val="28"/>
                <w:u w:val="single"/>
              </w:rPr>
              <w:t>複雜性高風險商品及其他經主管機關核定之商品類型須逐筆提供文字或情境分析外，其他商品得以一次性之說明分析交易損益之可能變動情形。</w:t>
            </w: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b/>
                <w:sz w:val="28"/>
                <w:szCs w:val="28"/>
                <w:u w:val="single"/>
              </w:rPr>
            </w:pPr>
          </w:p>
          <w:p w:rsidR="001F76DC" w:rsidRDefault="001F76DC" w:rsidP="00267317">
            <w:pPr>
              <w:pStyle w:val="ab"/>
              <w:kinsoku w:val="0"/>
              <w:snapToGrid w:val="0"/>
              <w:spacing w:before="72" w:line="320" w:lineRule="exact"/>
              <w:ind w:left="462" w:hangingChars="165" w:hanging="462"/>
              <w:rPr>
                <w:sz w:val="28"/>
                <w:szCs w:val="28"/>
                <w:u w:val="single"/>
              </w:rPr>
            </w:pPr>
          </w:p>
          <w:p w:rsidR="001F76DC" w:rsidRDefault="001F76DC" w:rsidP="00267317">
            <w:pPr>
              <w:pStyle w:val="ab"/>
              <w:kinsoku w:val="0"/>
              <w:snapToGrid w:val="0"/>
              <w:spacing w:before="72" w:line="320" w:lineRule="exact"/>
              <w:ind w:left="462" w:hangingChars="165" w:hanging="462"/>
              <w:rPr>
                <w:sz w:val="28"/>
                <w:szCs w:val="28"/>
                <w:u w:val="single"/>
              </w:rPr>
            </w:pPr>
          </w:p>
          <w:p w:rsidR="001F76DC" w:rsidRDefault="001F76DC" w:rsidP="00267317">
            <w:pPr>
              <w:pStyle w:val="ab"/>
              <w:kinsoku w:val="0"/>
              <w:snapToGrid w:val="0"/>
              <w:spacing w:before="72" w:line="320" w:lineRule="exact"/>
              <w:ind w:left="462" w:hangingChars="165" w:hanging="462"/>
              <w:rPr>
                <w:sz w:val="28"/>
                <w:szCs w:val="28"/>
                <w:u w:val="single"/>
              </w:rPr>
            </w:pPr>
          </w:p>
          <w:p w:rsidR="001F76DC" w:rsidRDefault="001F76DC" w:rsidP="00267317">
            <w:pPr>
              <w:pStyle w:val="ab"/>
              <w:kinsoku w:val="0"/>
              <w:snapToGrid w:val="0"/>
              <w:spacing w:before="72" w:line="320" w:lineRule="exact"/>
              <w:ind w:left="462" w:hangingChars="165" w:hanging="462"/>
              <w:rPr>
                <w:sz w:val="28"/>
                <w:szCs w:val="28"/>
                <w:u w:val="single"/>
              </w:rPr>
            </w:pPr>
          </w:p>
          <w:p w:rsidR="001F76DC" w:rsidRDefault="001F76DC" w:rsidP="00267317">
            <w:pPr>
              <w:pStyle w:val="ab"/>
              <w:kinsoku w:val="0"/>
              <w:snapToGrid w:val="0"/>
              <w:spacing w:before="72" w:line="320" w:lineRule="exact"/>
              <w:ind w:left="462" w:hangingChars="165" w:hanging="462"/>
              <w:rPr>
                <w:sz w:val="28"/>
                <w:szCs w:val="28"/>
                <w:u w:val="single"/>
              </w:rPr>
            </w:pPr>
          </w:p>
          <w:p w:rsidR="001F76DC" w:rsidRDefault="001F76DC" w:rsidP="00267317">
            <w:pPr>
              <w:pStyle w:val="ab"/>
              <w:kinsoku w:val="0"/>
              <w:snapToGrid w:val="0"/>
              <w:spacing w:before="72" w:line="320" w:lineRule="exact"/>
              <w:ind w:left="462" w:hangingChars="165" w:hanging="462"/>
              <w:rPr>
                <w:sz w:val="28"/>
                <w:szCs w:val="28"/>
                <w:u w:val="single"/>
              </w:rPr>
            </w:pPr>
          </w:p>
          <w:p w:rsidR="001F76DC" w:rsidRDefault="001F76DC" w:rsidP="00267317">
            <w:pPr>
              <w:pStyle w:val="ab"/>
              <w:kinsoku w:val="0"/>
              <w:snapToGrid w:val="0"/>
              <w:spacing w:before="72" w:line="320" w:lineRule="exact"/>
              <w:ind w:left="462" w:hangingChars="165" w:hanging="462"/>
              <w:rPr>
                <w:sz w:val="28"/>
                <w:szCs w:val="28"/>
                <w:u w:val="single"/>
              </w:rPr>
            </w:pPr>
          </w:p>
          <w:p w:rsidR="001F76DC" w:rsidRDefault="001F76DC" w:rsidP="00267317">
            <w:pPr>
              <w:pStyle w:val="ab"/>
              <w:kinsoku w:val="0"/>
              <w:snapToGrid w:val="0"/>
              <w:spacing w:before="72" w:line="320" w:lineRule="exact"/>
              <w:ind w:left="462" w:hangingChars="165" w:hanging="462"/>
              <w:rPr>
                <w:sz w:val="28"/>
                <w:szCs w:val="28"/>
                <w:u w:val="single"/>
              </w:rPr>
            </w:pPr>
          </w:p>
          <w:p w:rsidR="001F76DC" w:rsidRDefault="001F76DC" w:rsidP="00267317">
            <w:pPr>
              <w:pStyle w:val="ab"/>
              <w:kinsoku w:val="0"/>
              <w:snapToGrid w:val="0"/>
              <w:spacing w:before="72" w:line="320" w:lineRule="exact"/>
              <w:ind w:left="462" w:hangingChars="165" w:hanging="462"/>
              <w:rPr>
                <w:sz w:val="28"/>
                <w:szCs w:val="28"/>
                <w:u w:val="single"/>
              </w:rPr>
            </w:pPr>
          </w:p>
          <w:p w:rsidR="001F76DC" w:rsidRDefault="001F76DC" w:rsidP="00267317">
            <w:pPr>
              <w:pStyle w:val="ab"/>
              <w:kinsoku w:val="0"/>
              <w:snapToGrid w:val="0"/>
              <w:spacing w:before="72" w:line="320" w:lineRule="exact"/>
              <w:ind w:left="462" w:hangingChars="165" w:hanging="462"/>
              <w:rPr>
                <w:sz w:val="28"/>
                <w:szCs w:val="28"/>
                <w:u w:val="single"/>
              </w:rPr>
            </w:pPr>
          </w:p>
          <w:p w:rsidR="001F76DC" w:rsidRDefault="001F76DC" w:rsidP="000573A1">
            <w:pPr>
              <w:pStyle w:val="ab"/>
              <w:kinsoku w:val="0"/>
              <w:snapToGrid w:val="0"/>
              <w:spacing w:before="72" w:line="200" w:lineRule="exact"/>
              <w:ind w:left="462" w:hangingChars="165" w:hanging="462"/>
              <w:rPr>
                <w:sz w:val="28"/>
                <w:szCs w:val="28"/>
                <w:u w:val="single"/>
              </w:rPr>
            </w:pPr>
          </w:p>
          <w:p w:rsidR="001F76DC" w:rsidRDefault="001E658F" w:rsidP="0044060A">
            <w:pPr>
              <w:pStyle w:val="ab"/>
              <w:kinsoku w:val="0"/>
              <w:snapToGrid w:val="0"/>
              <w:spacing w:beforeLines="20" w:line="360" w:lineRule="exact"/>
              <w:ind w:left="462" w:hangingChars="165" w:hanging="462"/>
              <w:rPr>
                <w:rFonts w:hAnsi="標楷體"/>
                <w:sz w:val="28"/>
                <w:szCs w:val="28"/>
              </w:rPr>
            </w:pPr>
            <w:r w:rsidRPr="00D84C19">
              <w:rPr>
                <w:rFonts w:hAnsi="標楷體"/>
                <w:b/>
                <w:sz w:val="28"/>
                <w:szCs w:val="28"/>
                <w:u w:val="single"/>
              </w:rPr>
              <w:t>五、</w:t>
            </w:r>
            <w:r w:rsidRPr="00D84C19">
              <w:rPr>
                <w:rFonts w:hAnsi="標楷體"/>
                <w:sz w:val="28"/>
                <w:szCs w:val="28"/>
              </w:rPr>
              <w:t>銀行應合理控管客戶整體信用風險，避免客戶整體暴險情形超過其風險承受能力，並應每日按市價評估，確實執行徵提保證金或擔保品機制。</w:t>
            </w:r>
          </w:p>
          <w:p w:rsidR="001F76DC" w:rsidRDefault="001E658F" w:rsidP="0044060A">
            <w:pPr>
              <w:pStyle w:val="ab"/>
              <w:kinsoku w:val="0"/>
              <w:snapToGrid w:val="0"/>
              <w:spacing w:beforeLines="20" w:line="360" w:lineRule="exact"/>
              <w:ind w:left="462" w:hangingChars="165" w:hanging="462"/>
              <w:rPr>
                <w:rFonts w:ascii="Cambria" w:hAnsi="Cambria"/>
                <w:b/>
                <w:sz w:val="28"/>
                <w:szCs w:val="28"/>
              </w:rPr>
            </w:pPr>
            <w:r w:rsidRPr="00D84C19">
              <w:rPr>
                <w:rFonts w:hAnsi="標楷體"/>
                <w:b/>
                <w:sz w:val="28"/>
                <w:szCs w:val="28"/>
                <w:u w:val="single"/>
              </w:rPr>
              <w:t>六、銀行應定期（至少每月一次）提供客戶交易部位之市價評估資訊</w:t>
            </w:r>
            <w:r w:rsidRPr="00D84C19">
              <w:rPr>
                <w:rFonts w:hAnsi="標楷體"/>
                <w:b/>
                <w:sz w:val="28"/>
                <w:szCs w:val="28"/>
              </w:rPr>
              <w:t>。</w:t>
            </w:r>
          </w:p>
          <w:p w:rsidR="001F76DC" w:rsidRDefault="001E658F" w:rsidP="0044060A">
            <w:pPr>
              <w:pStyle w:val="ab"/>
              <w:kinsoku w:val="0"/>
              <w:snapToGrid w:val="0"/>
              <w:spacing w:beforeLines="20" w:line="360" w:lineRule="exact"/>
              <w:ind w:left="462" w:hangingChars="165" w:hanging="462"/>
              <w:rPr>
                <w:b/>
                <w:color w:val="FF0000"/>
                <w:sz w:val="28"/>
                <w:szCs w:val="28"/>
              </w:rPr>
            </w:pPr>
            <w:r w:rsidRPr="00D84C19">
              <w:rPr>
                <w:rFonts w:hAnsi="標楷體"/>
                <w:b/>
                <w:sz w:val="28"/>
                <w:szCs w:val="28"/>
                <w:u w:val="single"/>
              </w:rPr>
              <w:t>七、銀行與客戶之衍生性金融商品交易合約得訂定交易提前終止時，結算應付款數額之方式，且應反</w:t>
            </w:r>
            <w:r w:rsidR="006A0BBE">
              <w:rPr>
                <w:rFonts w:hAnsi="標楷體" w:hint="eastAsia"/>
                <w:b/>
                <w:sz w:val="28"/>
                <w:szCs w:val="28"/>
                <w:u w:val="single"/>
              </w:rPr>
              <w:t>映</w:t>
            </w:r>
            <w:r w:rsidRPr="00D84C19">
              <w:rPr>
                <w:rFonts w:hAnsi="標楷體"/>
                <w:b/>
                <w:sz w:val="28"/>
                <w:szCs w:val="28"/>
                <w:u w:val="single"/>
              </w:rPr>
              <w:t>並計算交易之當時市場價值，包括被終止交易原本在提前終止日後到期應給付之價值。前述交易提前終止之條件、結算應付款數額之方式等內容應於相關契約文件內載明或以其他方式向客戶充分揭露。如有額外收取提前終止費用，亦應予以揭露。</w:t>
            </w:r>
          </w:p>
          <w:p w:rsidR="001F76DC" w:rsidRDefault="001F76DC" w:rsidP="0044060A">
            <w:pPr>
              <w:pStyle w:val="ab"/>
              <w:kinsoku w:val="0"/>
              <w:snapToGrid w:val="0"/>
              <w:spacing w:beforeLines="20" w:line="360" w:lineRule="exact"/>
              <w:ind w:left="0" w:firstLineChars="200" w:firstLine="561"/>
              <w:rPr>
                <w:b/>
                <w:sz w:val="28"/>
                <w:szCs w:val="28"/>
                <w:u w:val="single"/>
              </w:rPr>
            </w:pPr>
          </w:p>
          <w:p w:rsidR="001F76DC" w:rsidRDefault="008D3655" w:rsidP="0044060A">
            <w:pPr>
              <w:pStyle w:val="ab"/>
              <w:kinsoku w:val="0"/>
              <w:snapToGrid w:val="0"/>
              <w:spacing w:beforeLines="20" w:line="360" w:lineRule="exact"/>
              <w:ind w:left="0" w:firstLineChars="200" w:firstLine="561"/>
              <w:rPr>
                <w:b/>
                <w:sz w:val="28"/>
                <w:szCs w:val="28"/>
                <w:u w:val="single"/>
              </w:rPr>
            </w:pPr>
            <w:r w:rsidRPr="00D84C19">
              <w:rPr>
                <w:rFonts w:hAnsi="標楷體"/>
                <w:b/>
                <w:sz w:val="28"/>
                <w:szCs w:val="28"/>
                <w:u w:val="single"/>
              </w:rPr>
              <w:t>銀行應有適當之控管制度以確</w:t>
            </w:r>
            <w:r w:rsidRPr="00D84C19">
              <w:rPr>
                <w:rFonts w:hAnsi="標楷體"/>
                <w:b/>
                <w:sz w:val="28"/>
                <w:szCs w:val="28"/>
                <w:u w:val="single"/>
              </w:rPr>
              <w:lastRenderedPageBreak/>
              <w:t>認客戶是否為避險目的而承作各類商品，及其暴險與應避險部位是否相當。所稱避險目的，就</w:t>
            </w:r>
            <w:r w:rsidR="002530E9" w:rsidRPr="00826ECC">
              <w:rPr>
                <w:rFonts w:hAnsi="標楷體" w:hint="eastAsia"/>
                <w:b/>
                <w:sz w:val="28"/>
                <w:szCs w:val="28"/>
                <w:u w:val="single"/>
              </w:rPr>
              <w:t>客戶</w:t>
            </w:r>
            <w:r w:rsidRPr="00D84C19">
              <w:rPr>
                <w:rFonts w:hAnsi="標楷體"/>
                <w:b/>
                <w:sz w:val="28"/>
                <w:szCs w:val="28"/>
                <w:u w:val="single"/>
              </w:rPr>
              <w:t>賣出或隱含賣出匯率選擇權類之商品，係以客戶實際外匯收支需要者為限，商品期限亦應符合實際外匯收支需要，同筆外匯收支需要不得重</w:t>
            </w:r>
            <w:r w:rsidR="007D1B6D" w:rsidRPr="00D84C19">
              <w:rPr>
                <w:rFonts w:hAnsi="標楷體"/>
                <w:b/>
                <w:sz w:val="28"/>
                <w:szCs w:val="28"/>
                <w:u w:val="single"/>
              </w:rPr>
              <w:t>複</w:t>
            </w:r>
            <w:r w:rsidRPr="00D84C19">
              <w:rPr>
                <w:rFonts w:hAnsi="標楷體"/>
                <w:b/>
                <w:sz w:val="28"/>
                <w:szCs w:val="28"/>
                <w:u w:val="single"/>
              </w:rPr>
              <w:t>承作，並應徵提相關文件。其他商品，係指客戶有實際相對應之需求。</w:t>
            </w:r>
          </w:p>
          <w:p w:rsidR="00344335" w:rsidRPr="00D84C19" w:rsidRDefault="00344335" w:rsidP="00A46FFF">
            <w:pPr>
              <w:spacing w:line="440" w:lineRule="exact"/>
              <w:ind w:left="1"/>
              <w:rPr>
                <w:rFonts w:eastAsia="標楷體"/>
                <w:b/>
                <w:color w:val="000000"/>
                <w:sz w:val="28"/>
                <w:szCs w:val="28"/>
                <w:u w:val="single"/>
              </w:rPr>
            </w:pPr>
          </w:p>
        </w:tc>
        <w:tc>
          <w:tcPr>
            <w:tcW w:w="4671" w:type="dxa"/>
            <w:shd w:val="clear" w:color="auto" w:fill="auto"/>
          </w:tcPr>
          <w:p w:rsidR="001F76DC" w:rsidRDefault="001E658F" w:rsidP="0044060A">
            <w:pPr>
              <w:pStyle w:val="ab"/>
              <w:kinsoku w:val="0"/>
              <w:snapToGrid w:val="0"/>
              <w:spacing w:beforeLines="20" w:line="360" w:lineRule="exact"/>
              <w:ind w:left="0"/>
              <w:rPr>
                <w:rFonts w:ascii="Cambria" w:hAnsi="Cambria"/>
                <w:sz w:val="28"/>
                <w:szCs w:val="28"/>
              </w:rPr>
            </w:pPr>
            <w:r w:rsidRPr="00D84C19">
              <w:rPr>
                <w:rFonts w:hAnsi="標楷體"/>
                <w:sz w:val="28"/>
                <w:szCs w:val="28"/>
              </w:rPr>
              <w:lastRenderedPageBreak/>
              <w:t>第二十五條</w:t>
            </w:r>
          </w:p>
          <w:p w:rsidR="001F76DC" w:rsidRDefault="001E658F" w:rsidP="0044060A">
            <w:pPr>
              <w:pStyle w:val="ab"/>
              <w:kinsoku w:val="0"/>
              <w:snapToGrid w:val="0"/>
              <w:spacing w:beforeLines="20" w:line="360" w:lineRule="exact"/>
              <w:ind w:left="0"/>
              <w:rPr>
                <w:rFonts w:ascii="Cambria" w:hAnsi="Cambria"/>
                <w:sz w:val="28"/>
                <w:szCs w:val="28"/>
              </w:rPr>
            </w:pPr>
            <w:r w:rsidRPr="00D84C19">
              <w:rPr>
                <w:sz w:val="28"/>
                <w:szCs w:val="28"/>
              </w:rPr>
              <w:t xml:space="preserve">    </w:t>
            </w:r>
            <w:r w:rsidRPr="00D84C19">
              <w:rPr>
                <w:rFonts w:hAnsi="標楷體"/>
                <w:sz w:val="28"/>
                <w:szCs w:val="28"/>
              </w:rPr>
              <w:t>銀行向</w:t>
            </w:r>
            <w:r w:rsidRPr="00132ADD">
              <w:rPr>
                <w:rFonts w:hAnsi="標楷體"/>
                <w:sz w:val="28"/>
                <w:szCs w:val="28"/>
              </w:rPr>
              <w:t>非屬</w:t>
            </w:r>
            <w:r w:rsidRPr="00D84C19">
              <w:rPr>
                <w:rFonts w:hAnsi="標楷體"/>
                <w:sz w:val="28"/>
                <w:szCs w:val="28"/>
              </w:rPr>
              <w:t>專業機構投資人之專業客戶及一般客戶提供非屬結構型商品之衍生性金融商品交易服務，銀行就商品適合度建立之內部作業程序應依下列原則辦理：</w:t>
            </w:r>
          </w:p>
          <w:p w:rsidR="001F76DC" w:rsidRDefault="001F76DC" w:rsidP="0044060A">
            <w:pPr>
              <w:pStyle w:val="ab"/>
              <w:kinsoku w:val="0"/>
              <w:snapToGrid w:val="0"/>
              <w:spacing w:beforeLines="20" w:line="320" w:lineRule="exact"/>
              <w:ind w:left="538" w:hangingChars="192" w:hanging="538"/>
              <w:rPr>
                <w:sz w:val="28"/>
                <w:szCs w:val="28"/>
              </w:rPr>
            </w:pPr>
          </w:p>
          <w:p w:rsidR="001F76DC" w:rsidRDefault="001F76DC" w:rsidP="0044060A">
            <w:pPr>
              <w:pStyle w:val="ab"/>
              <w:kinsoku w:val="0"/>
              <w:snapToGrid w:val="0"/>
              <w:spacing w:beforeLines="20" w:line="320" w:lineRule="exact"/>
              <w:ind w:left="538" w:hangingChars="192" w:hanging="538"/>
              <w:rPr>
                <w:sz w:val="28"/>
                <w:szCs w:val="28"/>
              </w:rPr>
            </w:pPr>
          </w:p>
          <w:p w:rsidR="001F76DC" w:rsidRDefault="001F76DC" w:rsidP="0044060A">
            <w:pPr>
              <w:pStyle w:val="ab"/>
              <w:kinsoku w:val="0"/>
              <w:snapToGrid w:val="0"/>
              <w:spacing w:beforeLines="20" w:line="320" w:lineRule="exact"/>
              <w:ind w:left="538" w:hangingChars="192" w:hanging="538"/>
              <w:rPr>
                <w:sz w:val="28"/>
                <w:szCs w:val="28"/>
              </w:rPr>
            </w:pPr>
          </w:p>
          <w:p w:rsidR="001F76DC" w:rsidRDefault="001F76DC" w:rsidP="0044060A">
            <w:pPr>
              <w:pStyle w:val="ab"/>
              <w:kinsoku w:val="0"/>
              <w:snapToGrid w:val="0"/>
              <w:spacing w:beforeLines="20" w:line="320" w:lineRule="exact"/>
              <w:ind w:left="538" w:hangingChars="192" w:hanging="538"/>
              <w:rPr>
                <w:sz w:val="28"/>
                <w:szCs w:val="28"/>
              </w:rPr>
            </w:pPr>
          </w:p>
          <w:p w:rsidR="001F76DC" w:rsidRDefault="001F76DC" w:rsidP="0044060A">
            <w:pPr>
              <w:pStyle w:val="ab"/>
              <w:kinsoku w:val="0"/>
              <w:snapToGrid w:val="0"/>
              <w:spacing w:beforeLines="20" w:line="320" w:lineRule="exact"/>
              <w:ind w:left="538" w:hangingChars="192" w:hanging="538"/>
              <w:rPr>
                <w:sz w:val="28"/>
                <w:szCs w:val="28"/>
              </w:rPr>
            </w:pPr>
          </w:p>
          <w:p w:rsidR="001F76DC" w:rsidRDefault="001E658F" w:rsidP="0044060A">
            <w:pPr>
              <w:pStyle w:val="ab"/>
              <w:kinsoku w:val="0"/>
              <w:snapToGrid w:val="0"/>
              <w:spacing w:beforeLines="20" w:line="360" w:lineRule="exact"/>
              <w:ind w:left="538" w:hangingChars="192" w:hanging="538"/>
              <w:rPr>
                <w:sz w:val="28"/>
                <w:szCs w:val="28"/>
              </w:rPr>
            </w:pPr>
            <w:r w:rsidRPr="00D84C19">
              <w:rPr>
                <w:rFonts w:hAnsi="標楷體"/>
                <w:sz w:val="28"/>
                <w:szCs w:val="28"/>
              </w:rPr>
              <w:t>一、建立商品風險分級制度，且分級方式應考量多重風險因子，例如波動幅度、連結標的資產類別及產品天期等。</w:t>
            </w:r>
            <w:r w:rsidRPr="00132ADD">
              <w:rPr>
                <w:rFonts w:hAnsi="標楷體"/>
                <w:sz w:val="28"/>
                <w:szCs w:val="28"/>
              </w:rPr>
              <w:t>結算或比價期數超過三期且隱含賣出選擇權之衍生性金融商品，惟不包括交換契約</w:t>
            </w:r>
            <w:r w:rsidRPr="00132ADD">
              <w:rPr>
                <w:sz w:val="28"/>
                <w:szCs w:val="28"/>
              </w:rPr>
              <w:t>(Swap)</w:t>
            </w:r>
            <w:r w:rsidRPr="00132ADD">
              <w:rPr>
                <w:rFonts w:hAnsi="標楷體"/>
                <w:sz w:val="28"/>
                <w:szCs w:val="28"/>
              </w:rPr>
              <w:t>及多筆交易一次簽約，客戶可隨時就其中之特定筆數交易辦理解約之一系列陽春型選擇權</w:t>
            </w:r>
            <w:r w:rsidRPr="00132ADD">
              <w:rPr>
                <w:sz w:val="28"/>
                <w:szCs w:val="28"/>
              </w:rPr>
              <w:t>(Plain vanilla option)</w:t>
            </w:r>
            <w:r w:rsidRPr="00132ADD">
              <w:rPr>
                <w:rFonts w:hAnsi="標楷體"/>
                <w:sz w:val="28"/>
                <w:szCs w:val="28"/>
              </w:rPr>
              <w:t>或遠期外匯（以下稱複雜性高風險商品），</w:t>
            </w:r>
            <w:r w:rsidRPr="00D84C19">
              <w:rPr>
                <w:rFonts w:hAnsi="標楷體"/>
                <w:sz w:val="28"/>
                <w:szCs w:val="28"/>
              </w:rPr>
              <w:t>及其他經主管機關核定之商品類型，應核予該商品最高風險評級。</w:t>
            </w:r>
          </w:p>
          <w:p w:rsidR="001F76DC" w:rsidRDefault="001E658F" w:rsidP="0044060A">
            <w:pPr>
              <w:pStyle w:val="ab"/>
              <w:kinsoku w:val="0"/>
              <w:snapToGrid w:val="0"/>
              <w:spacing w:beforeLines="20" w:line="360" w:lineRule="exact"/>
              <w:ind w:left="538" w:hangingChars="192" w:hanging="538"/>
              <w:rPr>
                <w:sz w:val="28"/>
                <w:szCs w:val="28"/>
              </w:rPr>
            </w:pPr>
            <w:r w:rsidRPr="00D84C19">
              <w:rPr>
                <w:rFonts w:hAnsi="標楷體"/>
                <w:sz w:val="28"/>
                <w:szCs w:val="28"/>
              </w:rPr>
              <w:t>二、</w:t>
            </w:r>
            <w:r w:rsidRPr="00132ADD">
              <w:rPr>
                <w:rFonts w:hAnsi="標楷體"/>
                <w:sz w:val="28"/>
                <w:szCs w:val="28"/>
              </w:rPr>
              <w:t>複雜性高風險商品限專業客戶及以避險為目的之一般客戶承作，且客戶應具備賣出選擇權之知識與經驗。</w:t>
            </w:r>
          </w:p>
          <w:p w:rsidR="001F76DC" w:rsidRDefault="001E658F" w:rsidP="0044060A">
            <w:pPr>
              <w:pStyle w:val="ab"/>
              <w:kinsoku w:val="0"/>
              <w:snapToGrid w:val="0"/>
              <w:spacing w:beforeLines="20" w:line="360" w:lineRule="exact"/>
              <w:ind w:left="538" w:hangingChars="192" w:hanging="538"/>
              <w:rPr>
                <w:sz w:val="28"/>
                <w:szCs w:val="28"/>
              </w:rPr>
            </w:pPr>
            <w:r w:rsidRPr="00D84C19">
              <w:rPr>
                <w:rFonts w:hAnsi="標楷體"/>
                <w:sz w:val="28"/>
                <w:szCs w:val="28"/>
              </w:rPr>
              <w:t>三、核給客戶衍生性金融商品額度或進行額度展延時，銀行應透過聯徵中心查詢或請客戶提供與其他金融機構承作衍生性金融商</w:t>
            </w:r>
            <w:r w:rsidRPr="00D84C19">
              <w:rPr>
                <w:rFonts w:hAnsi="標楷體"/>
                <w:sz w:val="28"/>
                <w:szCs w:val="28"/>
              </w:rPr>
              <w:lastRenderedPageBreak/>
              <w:t>品之額度。</w:t>
            </w:r>
          </w:p>
          <w:p w:rsidR="001F76DC" w:rsidRDefault="001E658F" w:rsidP="0044060A">
            <w:pPr>
              <w:pStyle w:val="ab"/>
              <w:kinsoku w:val="0"/>
              <w:snapToGrid w:val="0"/>
              <w:spacing w:beforeLines="20" w:line="360" w:lineRule="exact"/>
              <w:ind w:left="538" w:hangingChars="192" w:hanging="538"/>
              <w:rPr>
                <w:dstrike/>
                <w:sz w:val="28"/>
                <w:szCs w:val="28"/>
              </w:rPr>
            </w:pPr>
            <w:r w:rsidRPr="00D84C19">
              <w:rPr>
                <w:rFonts w:hAnsi="標楷體"/>
                <w:sz w:val="28"/>
                <w:szCs w:val="28"/>
              </w:rPr>
              <w:t>四、應考量客戶之營業收入、淨值、與其他銀行交易額度等因素，審慎衡酌客戶承受風險能力，核給客戶交易額度。</w:t>
            </w:r>
            <w:r w:rsidRPr="009612E2">
              <w:rPr>
                <w:rFonts w:hAnsi="標楷體"/>
                <w:sz w:val="28"/>
                <w:szCs w:val="28"/>
              </w:rPr>
              <w:t>非以避險為目的之客戶應設有徵提擔保品機制。</w:t>
            </w:r>
          </w:p>
          <w:p w:rsidR="001F76DC" w:rsidRDefault="001F76DC" w:rsidP="0044060A">
            <w:pPr>
              <w:pStyle w:val="ab"/>
              <w:kinsoku w:val="0"/>
              <w:snapToGrid w:val="0"/>
              <w:spacing w:beforeLines="20" w:line="360" w:lineRule="exact"/>
              <w:ind w:left="538" w:hangingChars="192" w:hanging="538"/>
              <w:rPr>
                <w:dstrike/>
                <w:sz w:val="28"/>
                <w:szCs w:val="28"/>
              </w:rPr>
            </w:pPr>
          </w:p>
          <w:p w:rsidR="001F76DC" w:rsidRDefault="001F76DC" w:rsidP="0044060A">
            <w:pPr>
              <w:pStyle w:val="ab"/>
              <w:kinsoku w:val="0"/>
              <w:snapToGrid w:val="0"/>
              <w:spacing w:beforeLines="20" w:line="360" w:lineRule="exact"/>
              <w:ind w:left="538" w:hangingChars="192" w:hanging="538"/>
              <w:rPr>
                <w:dstrike/>
                <w:sz w:val="28"/>
                <w:szCs w:val="28"/>
              </w:rPr>
            </w:pPr>
          </w:p>
          <w:p w:rsidR="001F76DC" w:rsidRDefault="001F76DC" w:rsidP="0044060A">
            <w:pPr>
              <w:pStyle w:val="ab"/>
              <w:kinsoku w:val="0"/>
              <w:snapToGrid w:val="0"/>
              <w:spacing w:beforeLines="20" w:line="360" w:lineRule="exact"/>
              <w:ind w:left="538" w:hangingChars="192" w:hanging="538"/>
              <w:rPr>
                <w:dstrike/>
                <w:sz w:val="28"/>
                <w:szCs w:val="28"/>
              </w:rPr>
            </w:pPr>
          </w:p>
          <w:p w:rsidR="001F76DC" w:rsidRDefault="001F76DC" w:rsidP="0044060A">
            <w:pPr>
              <w:pStyle w:val="ab"/>
              <w:kinsoku w:val="0"/>
              <w:snapToGrid w:val="0"/>
              <w:spacing w:beforeLines="20" w:line="360" w:lineRule="exact"/>
              <w:ind w:left="538" w:hangingChars="192" w:hanging="538"/>
              <w:rPr>
                <w:dstrike/>
                <w:sz w:val="28"/>
                <w:szCs w:val="28"/>
              </w:rPr>
            </w:pPr>
          </w:p>
          <w:p w:rsidR="001F76DC" w:rsidRDefault="001F76DC" w:rsidP="0044060A">
            <w:pPr>
              <w:pStyle w:val="ab"/>
              <w:kinsoku w:val="0"/>
              <w:snapToGrid w:val="0"/>
              <w:spacing w:beforeLines="20" w:line="360" w:lineRule="exact"/>
              <w:ind w:left="538" w:hangingChars="192" w:hanging="538"/>
              <w:rPr>
                <w:dstrike/>
                <w:sz w:val="28"/>
                <w:szCs w:val="28"/>
              </w:rPr>
            </w:pPr>
          </w:p>
          <w:p w:rsidR="001F76DC" w:rsidRDefault="001F76DC" w:rsidP="0044060A">
            <w:pPr>
              <w:pStyle w:val="ab"/>
              <w:kinsoku w:val="0"/>
              <w:snapToGrid w:val="0"/>
              <w:spacing w:beforeLines="20" w:line="360" w:lineRule="exact"/>
              <w:ind w:left="538" w:hangingChars="192" w:hanging="538"/>
              <w:rPr>
                <w:sz w:val="28"/>
                <w:szCs w:val="28"/>
              </w:rPr>
            </w:pPr>
          </w:p>
          <w:p w:rsidR="001F76DC" w:rsidRDefault="001F76DC" w:rsidP="0044060A">
            <w:pPr>
              <w:pStyle w:val="ab"/>
              <w:kinsoku w:val="0"/>
              <w:snapToGrid w:val="0"/>
              <w:spacing w:beforeLines="20" w:line="360" w:lineRule="exact"/>
              <w:ind w:left="538" w:hangingChars="192" w:hanging="538"/>
              <w:rPr>
                <w:sz w:val="28"/>
                <w:szCs w:val="28"/>
              </w:rPr>
            </w:pPr>
          </w:p>
          <w:p w:rsidR="001F76DC" w:rsidRDefault="001F76DC" w:rsidP="0044060A">
            <w:pPr>
              <w:pStyle w:val="ab"/>
              <w:kinsoku w:val="0"/>
              <w:snapToGrid w:val="0"/>
              <w:spacing w:beforeLines="20" w:line="360" w:lineRule="exact"/>
              <w:ind w:left="538" w:hangingChars="192" w:hanging="538"/>
              <w:rPr>
                <w:sz w:val="28"/>
                <w:szCs w:val="28"/>
              </w:rPr>
            </w:pPr>
          </w:p>
          <w:p w:rsidR="001F76DC" w:rsidRDefault="001F76DC" w:rsidP="0044060A">
            <w:pPr>
              <w:pStyle w:val="ab"/>
              <w:kinsoku w:val="0"/>
              <w:snapToGrid w:val="0"/>
              <w:spacing w:beforeLines="20" w:line="360" w:lineRule="exact"/>
              <w:ind w:left="538" w:hangingChars="192" w:hanging="538"/>
              <w:rPr>
                <w:sz w:val="28"/>
                <w:szCs w:val="28"/>
              </w:rPr>
            </w:pPr>
          </w:p>
          <w:p w:rsidR="001F76DC" w:rsidRDefault="001F76DC" w:rsidP="0044060A">
            <w:pPr>
              <w:pStyle w:val="ab"/>
              <w:kinsoku w:val="0"/>
              <w:snapToGrid w:val="0"/>
              <w:spacing w:beforeLines="20" w:line="360" w:lineRule="exact"/>
              <w:ind w:left="538" w:hangingChars="192" w:hanging="538"/>
              <w:rPr>
                <w:sz w:val="28"/>
                <w:szCs w:val="28"/>
              </w:rPr>
            </w:pPr>
          </w:p>
          <w:p w:rsidR="001F76DC" w:rsidRDefault="001F76DC" w:rsidP="0044060A">
            <w:pPr>
              <w:pStyle w:val="ab"/>
              <w:kinsoku w:val="0"/>
              <w:snapToGrid w:val="0"/>
              <w:spacing w:beforeLines="20" w:line="360" w:lineRule="exact"/>
              <w:ind w:left="538" w:hangingChars="192" w:hanging="538"/>
              <w:rPr>
                <w:sz w:val="28"/>
                <w:szCs w:val="28"/>
              </w:rPr>
            </w:pPr>
          </w:p>
          <w:p w:rsidR="001F76DC" w:rsidRDefault="001E658F" w:rsidP="0044060A">
            <w:pPr>
              <w:pStyle w:val="ab"/>
              <w:kinsoku w:val="0"/>
              <w:snapToGrid w:val="0"/>
              <w:spacing w:beforeLines="20" w:line="360" w:lineRule="exact"/>
              <w:ind w:left="538" w:hangingChars="192" w:hanging="538"/>
              <w:rPr>
                <w:sz w:val="28"/>
                <w:szCs w:val="28"/>
              </w:rPr>
            </w:pPr>
            <w:r w:rsidRPr="00D84C19">
              <w:rPr>
                <w:rFonts w:hAnsi="標楷體"/>
                <w:sz w:val="28"/>
                <w:szCs w:val="28"/>
              </w:rPr>
              <w:t>五、</w:t>
            </w:r>
            <w:r w:rsidRPr="00132ADD">
              <w:rPr>
                <w:rFonts w:hAnsi="標楷體"/>
                <w:sz w:val="28"/>
                <w:szCs w:val="28"/>
              </w:rPr>
              <w:t>銀行應就非以避險為目的承作之複雜性高風險商品，個別交易設有客戶最大損失上限。非避險交易之個別交易損失上限如下：</w:t>
            </w:r>
          </w:p>
          <w:p w:rsidR="001F76DC" w:rsidRDefault="001E658F" w:rsidP="0044060A">
            <w:pPr>
              <w:pStyle w:val="ab"/>
              <w:tabs>
                <w:tab w:val="left" w:pos="1028"/>
              </w:tabs>
              <w:kinsoku w:val="0"/>
              <w:snapToGrid w:val="0"/>
              <w:spacing w:beforeLines="20" w:line="360" w:lineRule="exact"/>
              <w:ind w:leftChars="119" w:left="1154" w:hangingChars="310" w:hanging="868"/>
              <w:rPr>
                <w:sz w:val="28"/>
                <w:szCs w:val="28"/>
              </w:rPr>
            </w:pPr>
            <w:r w:rsidRPr="00132ADD">
              <w:rPr>
                <w:rFonts w:hAnsi="標楷體"/>
                <w:sz w:val="28"/>
                <w:szCs w:val="28"/>
              </w:rPr>
              <w:t>（一）比價期數十二期以下（含）者，個別交易損失上限不得超過平均單期名目本金之六倍。</w:t>
            </w:r>
          </w:p>
          <w:p w:rsidR="001F76DC" w:rsidRDefault="001E658F" w:rsidP="0044060A">
            <w:pPr>
              <w:pStyle w:val="ab"/>
              <w:tabs>
                <w:tab w:val="left" w:pos="1028"/>
              </w:tabs>
              <w:kinsoku w:val="0"/>
              <w:snapToGrid w:val="0"/>
              <w:spacing w:beforeLines="20" w:line="360" w:lineRule="exact"/>
              <w:ind w:leftChars="119" w:left="1154" w:hangingChars="310" w:hanging="868"/>
              <w:rPr>
                <w:sz w:val="28"/>
                <w:szCs w:val="28"/>
              </w:rPr>
            </w:pPr>
            <w:r w:rsidRPr="00132ADD">
              <w:rPr>
                <w:rFonts w:hAnsi="標楷體"/>
                <w:sz w:val="28"/>
                <w:szCs w:val="28"/>
              </w:rPr>
              <w:lastRenderedPageBreak/>
              <w:t>（二）比價期數超過十二期者，個別交易損失上限不得超過平均單期名目本金之九點六倍。</w:t>
            </w:r>
          </w:p>
          <w:p w:rsidR="001F76DC" w:rsidRDefault="001E658F" w:rsidP="0044060A">
            <w:pPr>
              <w:pStyle w:val="ab"/>
              <w:tabs>
                <w:tab w:val="left" w:pos="1028"/>
              </w:tabs>
              <w:kinsoku w:val="0"/>
              <w:snapToGrid w:val="0"/>
              <w:spacing w:beforeLines="20" w:line="360" w:lineRule="exact"/>
              <w:ind w:leftChars="119" w:left="1154" w:hangingChars="310" w:hanging="868"/>
              <w:rPr>
                <w:sz w:val="28"/>
                <w:szCs w:val="28"/>
              </w:rPr>
            </w:pPr>
            <w:r w:rsidRPr="00132ADD">
              <w:rPr>
                <w:rFonts w:hAnsi="標楷體"/>
                <w:sz w:val="28"/>
                <w:szCs w:val="28"/>
              </w:rPr>
              <w:t>（三）所稱平均單期名目本金為不計槓桿之總名目本金除以期數之金額。</w:t>
            </w:r>
          </w:p>
          <w:p w:rsidR="001F76DC" w:rsidRDefault="001E658F" w:rsidP="0044060A">
            <w:pPr>
              <w:pStyle w:val="ab"/>
              <w:kinsoku w:val="0"/>
              <w:snapToGrid w:val="0"/>
              <w:spacing w:beforeLines="20" w:line="360" w:lineRule="exact"/>
              <w:ind w:left="462" w:hangingChars="165" w:hanging="462"/>
              <w:rPr>
                <w:sz w:val="28"/>
                <w:szCs w:val="28"/>
              </w:rPr>
            </w:pPr>
            <w:r w:rsidRPr="00132ADD">
              <w:rPr>
                <w:rFonts w:hAnsi="標楷體"/>
                <w:sz w:val="28"/>
                <w:szCs w:val="28"/>
              </w:rPr>
              <w:t>六、銀行應就非以避險為目的承作之複雜性高風險商品建立客戶風險集中度控管機制。明確訂定客戶投資複雜性高風險商品之每期名目本金總和占其在該銀行衍生性金融商品契約名目本金總金額之最高比重或客戶投資複雜性高風險商品所使用之未來潛在暴險額（</w:t>
            </w:r>
            <w:r w:rsidRPr="00132ADD">
              <w:rPr>
                <w:sz w:val="28"/>
                <w:szCs w:val="28"/>
              </w:rPr>
              <w:t>MLIV</w:t>
            </w:r>
            <w:r w:rsidRPr="00132ADD">
              <w:rPr>
                <w:rFonts w:hAnsi="標楷體"/>
                <w:sz w:val="28"/>
                <w:szCs w:val="28"/>
              </w:rPr>
              <w:t>）總和占其衍生性商品暴險額度之最高比重。</w:t>
            </w:r>
          </w:p>
          <w:p w:rsidR="001F76DC" w:rsidRDefault="001E658F" w:rsidP="0044060A">
            <w:pPr>
              <w:pStyle w:val="ab"/>
              <w:kinsoku w:val="0"/>
              <w:snapToGrid w:val="0"/>
              <w:spacing w:beforeLines="20" w:line="360" w:lineRule="exact"/>
              <w:ind w:left="462" w:hangingChars="165" w:hanging="462"/>
              <w:rPr>
                <w:sz w:val="28"/>
                <w:szCs w:val="28"/>
              </w:rPr>
            </w:pPr>
            <w:r w:rsidRPr="00132ADD">
              <w:rPr>
                <w:rFonts w:hAnsi="標楷體"/>
                <w:sz w:val="28"/>
                <w:szCs w:val="28"/>
              </w:rPr>
              <w:t>七、銀行與客戶承作複雜性高風險商品交易應告知交易條件重要內容及相關風險，除以非臨櫃之自動化通路交易或客戶不予同意之情形外，應以錄音或錄影方式保留紀錄。</w:t>
            </w:r>
          </w:p>
          <w:p w:rsidR="001F76DC" w:rsidRDefault="001E658F" w:rsidP="0044060A">
            <w:pPr>
              <w:pStyle w:val="ab"/>
              <w:kinsoku w:val="0"/>
              <w:snapToGrid w:val="0"/>
              <w:spacing w:beforeLines="20" w:line="360" w:lineRule="exact"/>
              <w:ind w:left="462" w:hangingChars="165" w:hanging="462"/>
              <w:rPr>
                <w:sz w:val="28"/>
                <w:szCs w:val="28"/>
              </w:rPr>
            </w:pPr>
            <w:r w:rsidRPr="00132ADD">
              <w:rPr>
                <w:rFonts w:hAnsi="標楷體"/>
                <w:sz w:val="28"/>
                <w:szCs w:val="28"/>
              </w:rPr>
              <w:t>八、銀行應落實執行認識客戶及商品適合度制度，與非避險客戶辦理複雜性高風險商品時，所訂定之個別契約最大損失上限應有合理</w:t>
            </w:r>
            <w:r w:rsidRPr="00132ADD">
              <w:rPr>
                <w:rFonts w:hAnsi="標楷體"/>
                <w:sz w:val="28"/>
                <w:szCs w:val="28"/>
              </w:rPr>
              <w:lastRenderedPageBreak/>
              <w:t>考量基礎。提供予客戶之交易文件應揭露該契約最大損失金額，並要求客戶於該處簽名、蓋用原留印鑑或其他雙方同意之方式確認，以提高客戶風險意識。</w:t>
            </w:r>
          </w:p>
          <w:p w:rsidR="001F76DC" w:rsidRDefault="001E658F" w:rsidP="0044060A">
            <w:pPr>
              <w:pStyle w:val="ab"/>
              <w:kinsoku w:val="0"/>
              <w:snapToGrid w:val="0"/>
              <w:spacing w:beforeLines="20" w:line="360" w:lineRule="exact"/>
              <w:ind w:left="462" w:hangingChars="165" w:hanging="462"/>
              <w:rPr>
                <w:sz w:val="28"/>
                <w:szCs w:val="28"/>
              </w:rPr>
            </w:pPr>
            <w:r w:rsidRPr="00D84C19">
              <w:rPr>
                <w:rFonts w:hAnsi="標楷體"/>
                <w:sz w:val="28"/>
                <w:szCs w:val="28"/>
              </w:rPr>
              <w:t>九、銀行應合理控管客戶整體信用風險，避免客戶整體暴險情形超過其風險承受能力，並應每日按市價評估，確實執行徵提保證金或擔保品機制。</w:t>
            </w: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462" w:hangingChars="165" w:hanging="462"/>
              <w:rPr>
                <w:sz w:val="28"/>
                <w:szCs w:val="28"/>
              </w:rPr>
            </w:pPr>
          </w:p>
          <w:p w:rsidR="001F76DC" w:rsidRDefault="001F76DC" w:rsidP="0044060A">
            <w:pPr>
              <w:pStyle w:val="ab"/>
              <w:kinsoku w:val="0"/>
              <w:snapToGrid w:val="0"/>
              <w:spacing w:beforeLines="20" w:line="360" w:lineRule="exact"/>
              <w:ind w:left="14" w:firstLineChars="155" w:firstLine="434"/>
              <w:rPr>
                <w:dstrike/>
                <w:sz w:val="28"/>
                <w:szCs w:val="28"/>
              </w:rPr>
            </w:pPr>
          </w:p>
          <w:p w:rsidR="001F76DC" w:rsidRDefault="001E658F" w:rsidP="0044060A">
            <w:pPr>
              <w:pStyle w:val="ab"/>
              <w:kinsoku w:val="0"/>
              <w:snapToGrid w:val="0"/>
              <w:spacing w:beforeLines="20" w:line="360" w:lineRule="exact"/>
              <w:ind w:left="14" w:firstLineChars="155" w:firstLine="434"/>
              <w:rPr>
                <w:sz w:val="28"/>
                <w:szCs w:val="28"/>
              </w:rPr>
            </w:pPr>
            <w:r w:rsidRPr="00132ADD">
              <w:rPr>
                <w:rFonts w:hAnsi="標楷體"/>
                <w:sz w:val="28"/>
                <w:szCs w:val="28"/>
              </w:rPr>
              <w:t>第一項第二款</w:t>
            </w:r>
            <w:r w:rsidRPr="00D84C19">
              <w:rPr>
                <w:rFonts w:hAnsi="標楷體"/>
                <w:sz w:val="28"/>
                <w:szCs w:val="28"/>
              </w:rPr>
              <w:t>所稱避險目的，就</w:t>
            </w:r>
            <w:r w:rsidRPr="00132ADD">
              <w:rPr>
                <w:rFonts w:hAnsi="標楷體"/>
                <w:sz w:val="28"/>
                <w:szCs w:val="28"/>
              </w:rPr>
              <w:t>涉及</w:t>
            </w:r>
            <w:r w:rsidRPr="00D84C19">
              <w:rPr>
                <w:rFonts w:hAnsi="標楷體"/>
                <w:sz w:val="28"/>
                <w:szCs w:val="28"/>
              </w:rPr>
              <w:t>匯率之商品，係</w:t>
            </w:r>
            <w:r w:rsidRPr="00132ADD">
              <w:rPr>
                <w:rFonts w:hAnsi="標楷體"/>
                <w:sz w:val="28"/>
                <w:szCs w:val="28"/>
              </w:rPr>
              <w:t>指</w:t>
            </w:r>
            <w:r w:rsidRPr="00D84C19">
              <w:rPr>
                <w:rFonts w:hAnsi="標楷體"/>
                <w:sz w:val="28"/>
                <w:szCs w:val="28"/>
              </w:rPr>
              <w:t>客戶</w:t>
            </w:r>
            <w:r w:rsidRPr="00132ADD">
              <w:rPr>
                <w:rFonts w:hAnsi="標楷體"/>
                <w:sz w:val="28"/>
                <w:szCs w:val="28"/>
              </w:rPr>
              <w:t>提供或聲</w:t>
            </w:r>
            <w:r w:rsidRPr="00132ADD">
              <w:rPr>
                <w:rFonts w:hAnsi="標楷體"/>
                <w:sz w:val="28"/>
                <w:szCs w:val="28"/>
              </w:rPr>
              <w:lastRenderedPageBreak/>
              <w:t>明有</w:t>
            </w:r>
            <w:r w:rsidRPr="00D84C19">
              <w:rPr>
                <w:rFonts w:hAnsi="標楷體"/>
                <w:sz w:val="28"/>
                <w:szCs w:val="28"/>
              </w:rPr>
              <w:t>實際外匯</w:t>
            </w:r>
            <w:r w:rsidRPr="00132ADD">
              <w:rPr>
                <w:rFonts w:hAnsi="標楷體"/>
                <w:sz w:val="28"/>
                <w:szCs w:val="28"/>
              </w:rPr>
              <w:t>部位或合理預期有相關外匯</w:t>
            </w:r>
            <w:r w:rsidRPr="00D84C19">
              <w:rPr>
                <w:rFonts w:hAnsi="標楷體"/>
                <w:sz w:val="28"/>
                <w:szCs w:val="28"/>
              </w:rPr>
              <w:t>收支需要者為限。</w:t>
            </w:r>
            <w:r w:rsidRPr="00132ADD">
              <w:rPr>
                <w:rFonts w:hAnsi="標楷體"/>
                <w:sz w:val="28"/>
                <w:szCs w:val="28"/>
              </w:rPr>
              <w:t>如屬匯率以外之</w:t>
            </w:r>
            <w:r w:rsidRPr="00D84C19">
              <w:rPr>
                <w:rFonts w:hAnsi="標楷體"/>
                <w:sz w:val="28"/>
                <w:szCs w:val="28"/>
              </w:rPr>
              <w:t>商品，係指客戶有實際相對應之需求。銀行應有適當之控管制度以確認各類商品是否為避險目的而承作，及其暴險與應避險部位是否相當，並應徵提相關文件。</w:t>
            </w:r>
          </w:p>
          <w:p w:rsidR="001F76DC" w:rsidRDefault="001E658F" w:rsidP="0044060A">
            <w:pPr>
              <w:pStyle w:val="ab"/>
              <w:kinsoku w:val="0"/>
              <w:snapToGrid w:val="0"/>
              <w:spacing w:beforeLines="20" w:line="360" w:lineRule="exact"/>
              <w:ind w:left="0"/>
              <w:rPr>
                <w:rFonts w:ascii="Cambria" w:hAnsi="Cambria"/>
                <w:sz w:val="28"/>
                <w:szCs w:val="28"/>
              </w:rPr>
            </w:pPr>
            <w:r w:rsidRPr="00D84C19">
              <w:rPr>
                <w:rFonts w:hAnsi="標楷體"/>
                <w:sz w:val="28"/>
                <w:szCs w:val="28"/>
              </w:rPr>
              <w:t xml:space="preserve">　　</w:t>
            </w:r>
            <w:r w:rsidRPr="00132ADD">
              <w:rPr>
                <w:rFonts w:hAnsi="標楷體"/>
                <w:sz w:val="28"/>
                <w:szCs w:val="28"/>
              </w:rPr>
              <w:t>內部作業程序至少應包含商品分級依據、商品風險分類、客戶交易目的評估及風險集中度控管機制。</w:t>
            </w:r>
          </w:p>
          <w:p w:rsidR="001F76DC" w:rsidRDefault="001E658F" w:rsidP="0044060A">
            <w:pPr>
              <w:pStyle w:val="ab"/>
              <w:kinsoku w:val="0"/>
              <w:snapToGrid w:val="0"/>
              <w:spacing w:beforeLines="20" w:line="360" w:lineRule="exact"/>
              <w:ind w:left="-14" w:firstLineChars="118" w:firstLine="330"/>
              <w:rPr>
                <w:rFonts w:ascii="Cambria" w:hAnsi="Cambria"/>
                <w:sz w:val="28"/>
                <w:szCs w:val="28"/>
              </w:rPr>
            </w:pPr>
            <w:r w:rsidRPr="00132ADD">
              <w:rPr>
                <w:rFonts w:hAnsi="標楷體"/>
                <w:sz w:val="28"/>
                <w:szCs w:val="28"/>
              </w:rPr>
              <w:t xml:space="preserve">　第一項第七款所稱之交易條件重要內容及相關風險係指下列事項：</w:t>
            </w:r>
          </w:p>
          <w:p w:rsidR="001F76DC" w:rsidRDefault="001E658F" w:rsidP="0044060A">
            <w:pPr>
              <w:pStyle w:val="ab"/>
              <w:kinsoku w:val="0"/>
              <w:snapToGrid w:val="0"/>
              <w:spacing w:beforeLines="20" w:line="360" w:lineRule="exact"/>
              <w:ind w:left="462" w:hangingChars="165" w:hanging="462"/>
              <w:rPr>
                <w:rFonts w:ascii="Cambria" w:hAnsi="Cambria"/>
                <w:sz w:val="28"/>
                <w:szCs w:val="28"/>
              </w:rPr>
            </w:pPr>
            <w:r w:rsidRPr="00132ADD">
              <w:rPr>
                <w:rFonts w:hAnsi="標楷體"/>
                <w:sz w:val="28"/>
                <w:szCs w:val="28"/>
              </w:rPr>
              <w:t>一、交易條件及重要內容</w:t>
            </w:r>
          </w:p>
          <w:p w:rsidR="001F76DC" w:rsidRDefault="001E658F" w:rsidP="0044060A">
            <w:pPr>
              <w:pStyle w:val="ab"/>
              <w:kinsoku w:val="0"/>
              <w:snapToGrid w:val="0"/>
              <w:spacing w:beforeLines="20" w:line="360" w:lineRule="exact"/>
              <w:ind w:leftChars="73" w:left="839" w:hangingChars="237" w:hanging="664"/>
              <w:rPr>
                <w:rFonts w:ascii="Cambria" w:hAnsi="Cambria"/>
                <w:sz w:val="28"/>
                <w:szCs w:val="28"/>
              </w:rPr>
            </w:pPr>
            <w:r w:rsidRPr="00132ADD">
              <w:rPr>
                <w:rFonts w:hAnsi="標楷體"/>
                <w:sz w:val="28"/>
                <w:szCs w:val="28"/>
              </w:rPr>
              <w:t>（一）計價幣別。</w:t>
            </w:r>
          </w:p>
          <w:p w:rsidR="001F76DC" w:rsidRDefault="001E658F" w:rsidP="0044060A">
            <w:pPr>
              <w:pStyle w:val="ab"/>
              <w:kinsoku w:val="0"/>
              <w:snapToGrid w:val="0"/>
              <w:spacing w:beforeLines="20" w:line="360" w:lineRule="exact"/>
              <w:ind w:leftChars="73" w:left="839" w:hangingChars="237" w:hanging="664"/>
              <w:rPr>
                <w:rFonts w:ascii="Cambria" w:hAnsi="Cambria"/>
                <w:sz w:val="28"/>
                <w:szCs w:val="28"/>
              </w:rPr>
            </w:pPr>
            <w:r w:rsidRPr="00132ADD">
              <w:rPr>
                <w:rFonts w:hAnsi="標楷體"/>
                <w:sz w:val="28"/>
                <w:szCs w:val="28"/>
              </w:rPr>
              <w:t>（二）交易日</w:t>
            </w:r>
            <w:r w:rsidRPr="00132ADD">
              <w:rPr>
                <w:sz w:val="28"/>
                <w:szCs w:val="28"/>
              </w:rPr>
              <w:t>/</w:t>
            </w:r>
            <w:r w:rsidRPr="00132ADD">
              <w:rPr>
                <w:rFonts w:hAnsi="標楷體"/>
                <w:sz w:val="28"/>
                <w:szCs w:val="28"/>
              </w:rPr>
              <w:t>生效日</w:t>
            </w:r>
            <w:r w:rsidRPr="00132ADD">
              <w:rPr>
                <w:sz w:val="28"/>
                <w:szCs w:val="28"/>
              </w:rPr>
              <w:t>/</w:t>
            </w:r>
            <w:r w:rsidRPr="00132ADD">
              <w:rPr>
                <w:rFonts w:hAnsi="標楷體"/>
                <w:sz w:val="28"/>
                <w:szCs w:val="28"/>
              </w:rPr>
              <w:t>到期日及其他依個別商品性質而定之日期。</w:t>
            </w:r>
          </w:p>
          <w:p w:rsidR="001F76DC" w:rsidRDefault="001E658F" w:rsidP="0044060A">
            <w:pPr>
              <w:pStyle w:val="ab"/>
              <w:kinsoku w:val="0"/>
              <w:snapToGrid w:val="0"/>
              <w:spacing w:beforeLines="20" w:line="360" w:lineRule="exact"/>
              <w:ind w:leftChars="73" w:left="839" w:hangingChars="237" w:hanging="664"/>
              <w:rPr>
                <w:rFonts w:ascii="Cambria" w:hAnsi="Cambria"/>
                <w:sz w:val="28"/>
                <w:szCs w:val="28"/>
              </w:rPr>
            </w:pPr>
            <w:r w:rsidRPr="00132ADD">
              <w:rPr>
                <w:rFonts w:hAnsi="標楷體"/>
                <w:sz w:val="28"/>
                <w:szCs w:val="28"/>
              </w:rPr>
              <w:t>（三）連結標的類別或資產。</w:t>
            </w:r>
          </w:p>
          <w:p w:rsidR="001F76DC" w:rsidRDefault="001E658F" w:rsidP="0044060A">
            <w:pPr>
              <w:pStyle w:val="ab"/>
              <w:kinsoku w:val="0"/>
              <w:snapToGrid w:val="0"/>
              <w:spacing w:beforeLines="20" w:line="360" w:lineRule="exact"/>
              <w:ind w:leftChars="73" w:left="839" w:hangingChars="237" w:hanging="664"/>
              <w:rPr>
                <w:rFonts w:ascii="Cambria" w:hAnsi="Cambria"/>
                <w:sz w:val="28"/>
                <w:szCs w:val="28"/>
              </w:rPr>
            </w:pPr>
            <w:r w:rsidRPr="00132ADD">
              <w:rPr>
                <w:rFonts w:hAnsi="標楷體"/>
                <w:sz w:val="28"/>
                <w:szCs w:val="28"/>
              </w:rPr>
              <w:t>（四）收益計算給付及其計算方式。</w:t>
            </w:r>
          </w:p>
          <w:p w:rsidR="001F76DC" w:rsidRDefault="001E658F" w:rsidP="0044060A">
            <w:pPr>
              <w:pStyle w:val="ab"/>
              <w:kinsoku w:val="0"/>
              <w:snapToGrid w:val="0"/>
              <w:spacing w:beforeLines="20" w:line="360" w:lineRule="exact"/>
              <w:ind w:leftChars="73" w:left="839" w:hangingChars="237" w:hanging="664"/>
              <w:rPr>
                <w:rFonts w:ascii="Cambria" w:hAnsi="Cambria"/>
                <w:sz w:val="28"/>
                <w:szCs w:val="28"/>
              </w:rPr>
            </w:pPr>
            <w:r w:rsidRPr="00132ADD">
              <w:rPr>
                <w:rFonts w:hAnsi="標楷體"/>
                <w:sz w:val="28"/>
                <w:szCs w:val="28"/>
              </w:rPr>
              <w:t>（五）說明交易如有提前到期約定時之條件、結算應付款數額之金額或計算方式。</w:t>
            </w:r>
          </w:p>
          <w:p w:rsidR="001F76DC" w:rsidRDefault="001E658F" w:rsidP="0044060A">
            <w:pPr>
              <w:pStyle w:val="ab"/>
              <w:kinsoku w:val="0"/>
              <w:snapToGrid w:val="0"/>
              <w:spacing w:beforeLines="20" w:line="360" w:lineRule="exact"/>
              <w:ind w:left="462" w:hangingChars="165" w:hanging="462"/>
              <w:rPr>
                <w:rFonts w:ascii="Cambria" w:hAnsi="Cambria"/>
                <w:sz w:val="28"/>
                <w:szCs w:val="28"/>
              </w:rPr>
            </w:pPr>
            <w:r w:rsidRPr="00132ADD">
              <w:rPr>
                <w:rFonts w:hAnsi="標楷體"/>
                <w:sz w:val="28"/>
                <w:szCs w:val="28"/>
              </w:rPr>
              <w:t>二、所須告知之交易相關風險至少應含本自律規範第二十六條第一款至第六款。</w:t>
            </w:r>
          </w:p>
          <w:p w:rsidR="00344335" w:rsidRPr="00D84C19" w:rsidRDefault="001E658F" w:rsidP="001E658F">
            <w:pPr>
              <w:spacing w:line="440" w:lineRule="exact"/>
              <w:rPr>
                <w:rFonts w:eastAsia="標楷體"/>
                <w:color w:val="000000"/>
                <w:sz w:val="28"/>
                <w:szCs w:val="28"/>
              </w:rPr>
            </w:pPr>
            <w:r w:rsidRPr="00132ADD">
              <w:rPr>
                <w:rFonts w:eastAsia="標楷體" w:hAnsi="標楷體"/>
                <w:sz w:val="28"/>
                <w:szCs w:val="28"/>
              </w:rPr>
              <w:t xml:space="preserve">　　第一項第七款所稱以錄音或錄</w:t>
            </w:r>
            <w:r w:rsidRPr="00132ADD">
              <w:rPr>
                <w:rFonts w:eastAsia="標楷體" w:hAnsi="標楷體"/>
                <w:sz w:val="28"/>
                <w:szCs w:val="28"/>
              </w:rPr>
              <w:lastRenderedPageBreak/>
              <w:t>影方式保留紀錄，其保存期限應不得少於該商品存續期間加計三個月之期間，如未滿五年應至少保存五年以上。惟遇有爭議之交易時，應保留至爭議終結為止</w:t>
            </w:r>
            <w:r w:rsidR="004E40B6" w:rsidRPr="00132ADD">
              <w:rPr>
                <w:rFonts w:eastAsia="標楷體" w:hAnsi="標楷體"/>
                <w:sz w:val="28"/>
                <w:szCs w:val="28"/>
              </w:rPr>
              <w:t>。</w:t>
            </w:r>
          </w:p>
        </w:tc>
        <w:tc>
          <w:tcPr>
            <w:tcW w:w="4672" w:type="dxa"/>
            <w:shd w:val="clear" w:color="auto" w:fill="auto"/>
          </w:tcPr>
          <w:p w:rsidR="00FC5995" w:rsidRDefault="00F6529A">
            <w:pPr>
              <w:numPr>
                <w:ilvl w:val="0"/>
                <w:numId w:val="16"/>
              </w:numPr>
              <w:spacing w:line="440" w:lineRule="exact"/>
              <w:ind w:left="567" w:hanging="567"/>
              <w:rPr>
                <w:rFonts w:ascii="Cambria" w:eastAsia="標楷體" w:hAnsi="Cambria"/>
                <w:color w:val="000000"/>
                <w:sz w:val="28"/>
                <w:szCs w:val="28"/>
              </w:rPr>
            </w:pPr>
            <w:r>
              <w:rPr>
                <w:rFonts w:eastAsia="標楷體" w:hAnsi="標楷體" w:hint="eastAsia"/>
                <w:color w:val="000000"/>
                <w:sz w:val="28"/>
                <w:szCs w:val="28"/>
              </w:rPr>
              <w:lastRenderedPageBreak/>
              <w:t>衍商管理辦法第三條增訂高淨值投資法人，爰本條配合修正。另為</w:t>
            </w:r>
            <w:r w:rsidR="007864A4" w:rsidRPr="00D84C19">
              <w:rPr>
                <w:rFonts w:eastAsia="標楷體" w:hAnsi="標楷體"/>
                <w:color w:val="000000"/>
                <w:sz w:val="28"/>
                <w:szCs w:val="28"/>
              </w:rPr>
              <w:t>強化銀行辦理衍生性金融商品之</w:t>
            </w:r>
            <w:r w:rsidR="003E1650">
              <w:rPr>
                <w:rFonts w:eastAsia="標楷體" w:hint="eastAsia"/>
                <w:color w:val="000000"/>
                <w:sz w:val="28"/>
                <w:szCs w:val="28"/>
              </w:rPr>
              <w:t>內部作業</w:t>
            </w:r>
            <w:r w:rsidR="007864A4" w:rsidRPr="00D84C19">
              <w:rPr>
                <w:rFonts w:eastAsia="標楷體" w:hAnsi="標楷體"/>
                <w:color w:val="000000"/>
                <w:sz w:val="28"/>
                <w:szCs w:val="28"/>
              </w:rPr>
              <w:t>程序</w:t>
            </w:r>
            <w:r w:rsidR="009D4EA0" w:rsidRPr="00D84C19">
              <w:rPr>
                <w:rFonts w:eastAsia="標楷體" w:hAnsi="標楷體"/>
                <w:color w:val="000000"/>
                <w:sz w:val="28"/>
                <w:szCs w:val="28"/>
              </w:rPr>
              <w:t>，</w:t>
            </w:r>
            <w:r w:rsidR="003E1650">
              <w:rPr>
                <w:rFonts w:eastAsia="標楷體" w:hAnsi="標楷體" w:hint="eastAsia"/>
                <w:color w:val="000000"/>
                <w:sz w:val="28"/>
                <w:szCs w:val="28"/>
              </w:rPr>
              <w:t>酌</w:t>
            </w:r>
            <w:r w:rsidR="007864A4" w:rsidRPr="00D84C19">
              <w:rPr>
                <w:rFonts w:eastAsia="標楷體" w:hAnsi="標楷體"/>
                <w:color w:val="000000"/>
                <w:sz w:val="28"/>
                <w:szCs w:val="28"/>
              </w:rPr>
              <w:t>修</w:t>
            </w:r>
            <w:r w:rsidR="003E1650">
              <w:rPr>
                <w:rFonts w:eastAsia="標楷體" w:hAnsi="標楷體" w:hint="eastAsia"/>
                <w:color w:val="000000"/>
                <w:sz w:val="28"/>
                <w:szCs w:val="28"/>
              </w:rPr>
              <w:t>本條</w:t>
            </w:r>
            <w:r w:rsidR="002B6AB0" w:rsidRPr="00D84C19">
              <w:rPr>
                <w:rFonts w:eastAsia="標楷體" w:hAnsi="標楷體"/>
                <w:color w:val="000000"/>
                <w:sz w:val="28"/>
                <w:szCs w:val="28"/>
              </w:rPr>
              <w:t>第一項</w:t>
            </w:r>
            <w:r w:rsidR="003E1650">
              <w:rPr>
                <w:rFonts w:eastAsia="標楷體" w:hAnsi="標楷體" w:hint="eastAsia"/>
                <w:color w:val="000000"/>
                <w:sz w:val="28"/>
                <w:szCs w:val="28"/>
              </w:rPr>
              <w:t>，並增訂第二項。</w:t>
            </w:r>
          </w:p>
          <w:p w:rsidR="00823D6B" w:rsidRDefault="00823D6B" w:rsidP="00823D6B">
            <w:pPr>
              <w:spacing w:line="440" w:lineRule="exact"/>
              <w:ind w:left="567"/>
              <w:rPr>
                <w:rFonts w:eastAsia="標楷體"/>
                <w:color w:val="000000"/>
                <w:sz w:val="28"/>
                <w:szCs w:val="28"/>
              </w:rPr>
            </w:pPr>
          </w:p>
          <w:p w:rsidR="00823D6B" w:rsidRDefault="002A731F" w:rsidP="00823D6B">
            <w:pPr>
              <w:numPr>
                <w:ilvl w:val="0"/>
                <w:numId w:val="16"/>
              </w:numPr>
              <w:spacing w:line="440" w:lineRule="exact"/>
              <w:ind w:left="567" w:hanging="567"/>
              <w:rPr>
                <w:rFonts w:eastAsia="標楷體"/>
                <w:color w:val="000000"/>
                <w:sz w:val="28"/>
                <w:szCs w:val="28"/>
              </w:rPr>
            </w:pPr>
            <w:r w:rsidRPr="00D84C19">
              <w:rPr>
                <w:rFonts w:eastAsia="標楷體" w:hAnsi="標楷體"/>
                <w:color w:val="000000"/>
                <w:sz w:val="28"/>
                <w:szCs w:val="28"/>
              </w:rPr>
              <w:t>為避免本條內容過於龐雜，爰將涉及複雜性高風險商品之</w:t>
            </w:r>
            <w:r w:rsidR="00370B78">
              <w:rPr>
                <w:rFonts w:eastAsia="標楷體" w:hAnsi="標楷體" w:hint="eastAsia"/>
                <w:color w:val="000000"/>
                <w:sz w:val="28"/>
                <w:szCs w:val="28"/>
              </w:rPr>
              <w:t>規範</w:t>
            </w:r>
            <w:r w:rsidRPr="00D84C19">
              <w:rPr>
                <w:rFonts w:eastAsia="標楷體" w:hAnsi="標楷體"/>
                <w:color w:val="000000"/>
                <w:sz w:val="28"/>
                <w:szCs w:val="28"/>
              </w:rPr>
              <w:t>移至</w:t>
            </w:r>
            <w:r w:rsidR="00370B78">
              <w:rPr>
                <w:rFonts w:eastAsia="標楷體" w:hAnsi="標楷體" w:hint="eastAsia"/>
                <w:color w:val="000000"/>
                <w:sz w:val="28"/>
                <w:szCs w:val="28"/>
              </w:rPr>
              <w:t>新增訂之第</w:t>
            </w:r>
            <w:r w:rsidRPr="00D84C19">
              <w:rPr>
                <w:rFonts w:eastAsia="標楷體" w:hAnsi="標楷體"/>
                <w:color w:val="000000"/>
                <w:sz w:val="28"/>
                <w:szCs w:val="28"/>
              </w:rPr>
              <w:t>二十五條之一</w:t>
            </w:r>
            <w:r w:rsidR="0053487E" w:rsidRPr="00D84C19">
              <w:rPr>
                <w:rFonts w:eastAsia="標楷體" w:hAnsi="標楷體"/>
                <w:color w:val="000000"/>
                <w:sz w:val="28"/>
                <w:szCs w:val="28"/>
              </w:rPr>
              <w:t>，</w:t>
            </w:r>
            <w:r w:rsidR="00370B78">
              <w:rPr>
                <w:rFonts w:eastAsia="標楷體" w:hAnsi="標楷體" w:hint="eastAsia"/>
                <w:color w:val="000000"/>
                <w:sz w:val="28"/>
                <w:szCs w:val="28"/>
              </w:rPr>
              <w:t>並</w:t>
            </w:r>
            <w:r w:rsidR="00D46F51" w:rsidRPr="00D84C19">
              <w:rPr>
                <w:rFonts w:eastAsia="標楷體" w:hAnsi="標楷體"/>
                <w:color w:val="000000"/>
                <w:sz w:val="28"/>
                <w:szCs w:val="28"/>
              </w:rPr>
              <w:t>修正</w:t>
            </w:r>
            <w:r w:rsidR="00370B78">
              <w:rPr>
                <w:rFonts w:eastAsia="標楷體" w:hAnsi="標楷體" w:hint="eastAsia"/>
                <w:color w:val="000000"/>
                <w:sz w:val="28"/>
                <w:szCs w:val="28"/>
              </w:rPr>
              <w:t>本條</w:t>
            </w:r>
            <w:r w:rsidR="00D46F51" w:rsidRPr="00D84C19">
              <w:rPr>
                <w:rFonts w:eastAsia="標楷體" w:hAnsi="標楷體"/>
                <w:color w:val="000000"/>
                <w:sz w:val="28"/>
                <w:szCs w:val="28"/>
              </w:rPr>
              <w:t>如下：</w:t>
            </w:r>
          </w:p>
          <w:p w:rsidR="00823D6B" w:rsidRPr="004F09BC" w:rsidRDefault="0032484A" w:rsidP="00823D6B">
            <w:pPr>
              <w:numPr>
                <w:ilvl w:val="1"/>
                <w:numId w:val="16"/>
              </w:numPr>
              <w:spacing w:line="440" w:lineRule="exact"/>
              <w:rPr>
                <w:rFonts w:eastAsia="標楷體"/>
                <w:color w:val="000000"/>
                <w:sz w:val="28"/>
                <w:szCs w:val="28"/>
              </w:rPr>
            </w:pPr>
            <w:r w:rsidRPr="00D84C19">
              <w:rPr>
                <w:rFonts w:eastAsia="標楷體" w:hAnsi="標楷體"/>
                <w:color w:val="000000"/>
                <w:sz w:val="28"/>
                <w:szCs w:val="28"/>
              </w:rPr>
              <w:t>刪除</w:t>
            </w:r>
            <w:r w:rsidR="00D46F51" w:rsidRPr="00D84C19">
              <w:rPr>
                <w:rFonts w:eastAsia="標楷體" w:hAnsi="標楷體"/>
                <w:color w:val="000000"/>
                <w:sz w:val="28"/>
                <w:szCs w:val="28"/>
              </w:rPr>
              <w:t>原</w:t>
            </w:r>
            <w:r w:rsidRPr="00D84C19">
              <w:rPr>
                <w:rFonts w:eastAsia="標楷體" w:hAnsi="標楷體"/>
                <w:color w:val="000000"/>
                <w:sz w:val="28"/>
                <w:szCs w:val="28"/>
              </w:rPr>
              <w:t>第一項第一款有關複雜性高風險商品之定義</w:t>
            </w:r>
            <w:r w:rsidR="0053487E" w:rsidRPr="00D84C19">
              <w:rPr>
                <w:rFonts w:eastAsia="標楷體" w:hAnsi="標楷體"/>
                <w:color w:val="000000"/>
                <w:sz w:val="28"/>
                <w:szCs w:val="28"/>
              </w:rPr>
              <w:t>。</w:t>
            </w:r>
            <w:r w:rsidR="00F01CB5">
              <w:rPr>
                <w:rFonts w:eastAsia="標楷體" w:hAnsi="標楷體" w:hint="eastAsia"/>
                <w:color w:val="000000"/>
                <w:sz w:val="28"/>
                <w:szCs w:val="28"/>
              </w:rPr>
              <w:t>該</w:t>
            </w:r>
            <w:r w:rsidR="00010284">
              <w:rPr>
                <w:rFonts w:eastAsia="標楷體" w:hAnsi="標楷體" w:hint="eastAsia"/>
                <w:color w:val="000000"/>
                <w:sz w:val="28"/>
                <w:szCs w:val="28"/>
              </w:rPr>
              <w:t>定義已</w:t>
            </w:r>
            <w:r w:rsidR="00F01CB5">
              <w:rPr>
                <w:rFonts w:eastAsia="標楷體" w:hAnsi="標楷體" w:hint="eastAsia"/>
                <w:color w:val="000000"/>
                <w:sz w:val="28"/>
                <w:szCs w:val="28"/>
              </w:rPr>
              <w:t>訂</w:t>
            </w:r>
            <w:r w:rsidR="00010284">
              <w:rPr>
                <w:rFonts w:eastAsia="標楷體" w:hAnsi="標楷體" w:hint="eastAsia"/>
                <w:color w:val="000000"/>
                <w:sz w:val="28"/>
                <w:szCs w:val="28"/>
              </w:rPr>
              <w:t>於衍商管理辦法第二條。</w:t>
            </w:r>
          </w:p>
          <w:p w:rsidR="00823D6B" w:rsidRDefault="00D46F51" w:rsidP="00823D6B">
            <w:pPr>
              <w:numPr>
                <w:ilvl w:val="1"/>
                <w:numId w:val="16"/>
              </w:numPr>
              <w:spacing w:line="440" w:lineRule="exact"/>
              <w:rPr>
                <w:rFonts w:eastAsia="標楷體"/>
                <w:color w:val="000000"/>
                <w:sz w:val="28"/>
                <w:szCs w:val="28"/>
              </w:rPr>
            </w:pPr>
            <w:r w:rsidRPr="00D84C19">
              <w:rPr>
                <w:rFonts w:eastAsia="標楷體" w:hAnsi="標楷體"/>
                <w:color w:val="000000"/>
                <w:sz w:val="28"/>
                <w:szCs w:val="28"/>
              </w:rPr>
              <w:t>刪除原第一項第二款、五</w:t>
            </w:r>
            <w:r w:rsidRPr="00D84C19">
              <w:rPr>
                <w:rFonts w:eastAsia="標楷體"/>
                <w:color w:val="000000"/>
                <w:sz w:val="28"/>
                <w:szCs w:val="28"/>
              </w:rPr>
              <w:t>~</w:t>
            </w:r>
            <w:r w:rsidR="001B3340" w:rsidRPr="00D84C19">
              <w:rPr>
                <w:rFonts w:eastAsia="標楷體" w:hAnsi="標楷體"/>
                <w:color w:val="000000"/>
                <w:sz w:val="28"/>
                <w:szCs w:val="28"/>
              </w:rPr>
              <w:t>八款、第三</w:t>
            </w:r>
            <w:r w:rsidRPr="00D84C19">
              <w:rPr>
                <w:rFonts w:eastAsia="標楷體" w:hAnsi="標楷體"/>
                <w:color w:val="000000"/>
                <w:sz w:val="28"/>
                <w:szCs w:val="28"/>
              </w:rPr>
              <w:t>、四及五項。</w:t>
            </w:r>
          </w:p>
          <w:p w:rsidR="00823D6B" w:rsidRDefault="00D46F51" w:rsidP="00823D6B">
            <w:pPr>
              <w:numPr>
                <w:ilvl w:val="1"/>
                <w:numId w:val="16"/>
              </w:numPr>
              <w:spacing w:line="440" w:lineRule="exact"/>
              <w:rPr>
                <w:rFonts w:ascii="Cambria" w:eastAsia="標楷體" w:hAnsi="Cambria"/>
                <w:color w:val="000000"/>
                <w:sz w:val="28"/>
                <w:szCs w:val="28"/>
              </w:rPr>
            </w:pPr>
            <w:r w:rsidRPr="00D84C19">
              <w:rPr>
                <w:rFonts w:eastAsia="標楷體" w:hAnsi="標楷體"/>
                <w:color w:val="000000"/>
                <w:sz w:val="28"/>
                <w:szCs w:val="28"/>
              </w:rPr>
              <w:t>配合修</w:t>
            </w:r>
            <w:r w:rsidR="00915780">
              <w:rPr>
                <w:rFonts w:eastAsia="標楷體" w:hAnsi="標楷體" w:hint="eastAsia"/>
                <w:color w:val="000000"/>
                <w:sz w:val="28"/>
                <w:szCs w:val="28"/>
              </w:rPr>
              <w:t>正</w:t>
            </w:r>
            <w:r w:rsidRPr="00D84C19">
              <w:rPr>
                <w:rFonts w:eastAsia="標楷體" w:hAnsi="標楷體"/>
                <w:color w:val="000000"/>
                <w:sz w:val="28"/>
                <w:szCs w:val="28"/>
              </w:rPr>
              <w:t>原第一項第三、四及九之款次。</w:t>
            </w:r>
          </w:p>
          <w:p w:rsidR="00823D6B" w:rsidRPr="009612E2" w:rsidRDefault="000C7DD2" w:rsidP="00823D6B">
            <w:pPr>
              <w:numPr>
                <w:ilvl w:val="0"/>
                <w:numId w:val="16"/>
              </w:numPr>
              <w:spacing w:line="440" w:lineRule="exact"/>
              <w:ind w:left="567" w:hanging="567"/>
              <w:rPr>
                <w:rFonts w:eastAsia="標楷體"/>
                <w:color w:val="000000"/>
                <w:sz w:val="28"/>
                <w:szCs w:val="28"/>
              </w:rPr>
            </w:pPr>
            <w:r w:rsidRPr="00C348F0">
              <w:rPr>
                <w:rFonts w:eastAsia="標楷體" w:hAnsi="標楷體" w:hint="eastAsia"/>
                <w:sz w:val="28"/>
                <w:szCs w:val="28"/>
              </w:rPr>
              <w:t>參酌</w:t>
            </w:r>
            <w:r w:rsidR="00D46F51" w:rsidRPr="009612E2">
              <w:rPr>
                <w:rFonts w:eastAsia="標楷體" w:hAnsi="標楷體"/>
                <w:color w:val="000000"/>
                <w:sz w:val="28"/>
                <w:szCs w:val="28"/>
              </w:rPr>
              <w:t>衍商管理辦法第二十條第</w:t>
            </w:r>
            <w:r w:rsidR="00E774C8" w:rsidRPr="00C348F0">
              <w:rPr>
                <w:rFonts w:eastAsia="標楷體" w:hAnsi="標楷體" w:hint="eastAsia"/>
                <w:sz w:val="28"/>
                <w:szCs w:val="28"/>
              </w:rPr>
              <w:t>五</w:t>
            </w:r>
            <w:r w:rsidR="00D46F51" w:rsidRPr="009612E2">
              <w:rPr>
                <w:rFonts w:eastAsia="標楷體" w:hAnsi="標楷體"/>
                <w:color w:val="000000"/>
                <w:sz w:val="28"/>
                <w:szCs w:val="28"/>
              </w:rPr>
              <w:t>項增訂銀行應</w:t>
            </w:r>
            <w:r w:rsidR="00001C0C" w:rsidRPr="009612E2">
              <w:rPr>
                <w:rFonts w:eastAsia="標楷體" w:hAnsi="標楷體" w:hint="eastAsia"/>
                <w:color w:val="000000"/>
                <w:sz w:val="28"/>
                <w:szCs w:val="28"/>
              </w:rPr>
              <w:t>訂定</w:t>
            </w:r>
            <w:r w:rsidR="00D46F51" w:rsidRPr="009612E2">
              <w:rPr>
                <w:rFonts w:eastAsia="標楷體" w:hAnsi="標楷體"/>
                <w:color w:val="000000"/>
                <w:sz w:val="28"/>
                <w:szCs w:val="28"/>
              </w:rPr>
              <w:t>徵提期初保證金及追繳保證金機制</w:t>
            </w:r>
            <w:r w:rsidR="00001C0C" w:rsidRPr="00C348F0">
              <w:rPr>
                <w:rFonts w:eastAsia="標楷體" w:hAnsi="標楷體" w:hint="eastAsia"/>
                <w:sz w:val="28"/>
                <w:szCs w:val="28"/>
              </w:rPr>
              <w:t>，</w:t>
            </w:r>
            <w:r w:rsidR="00FB5B18" w:rsidRPr="00C348F0">
              <w:rPr>
                <w:rFonts w:eastAsia="標楷體" w:hAnsi="標楷體" w:hint="eastAsia"/>
                <w:sz w:val="28"/>
                <w:szCs w:val="28"/>
              </w:rPr>
              <w:t>針對非以避險為目的之客戶</w:t>
            </w:r>
            <w:r w:rsidR="00EE0A6C" w:rsidRPr="00EE0A6C">
              <w:rPr>
                <w:rFonts w:eastAsia="標楷體" w:hAnsi="標楷體" w:hint="eastAsia"/>
                <w:sz w:val="28"/>
                <w:szCs w:val="28"/>
              </w:rPr>
              <w:t>得另設有徵提擔保品機制</w:t>
            </w:r>
            <w:r w:rsidR="00D46F51" w:rsidRPr="009612E2">
              <w:rPr>
                <w:rFonts w:eastAsia="標楷體" w:hAnsi="標楷體"/>
                <w:color w:val="000000"/>
                <w:sz w:val="28"/>
                <w:szCs w:val="28"/>
              </w:rPr>
              <w:t>。</w:t>
            </w:r>
            <w:r w:rsidR="00253F49">
              <w:rPr>
                <w:rFonts w:eastAsia="標楷體" w:hAnsi="標楷體" w:hint="eastAsia"/>
                <w:color w:val="000000"/>
                <w:sz w:val="28"/>
                <w:szCs w:val="28"/>
              </w:rPr>
              <w:t>另，核給客戶交易額度，除</w:t>
            </w:r>
            <w:r w:rsidR="000845CD">
              <w:rPr>
                <w:rFonts w:eastAsia="標楷體" w:hAnsi="標楷體" w:hint="eastAsia"/>
                <w:color w:val="000000"/>
                <w:sz w:val="28"/>
                <w:szCs w:val="28"/>
              </w:rPr>
              <w:t>應衡酌</w:t>
            </w:r>
            <w:r w:rsidR="00585B7B">
              <w:rPr>
                <w:rFonts w:eastAsia="標楷體" w:hAnsi="標楷體" w:hint="eastAsia"/>
                <w:color w:val="000000"/>
                <w:sz w:val="28"/>
                <w:szCs w:val="28"/>
              </w:rPr>
              <w:t>客戶承受風險能力外，並應衡酌客戶需求。</w:t>
            </w:r>
          </w:p>
          <w:p w:rsidR="00823D6B" w:rsidRPr="00F066E2" w:rsidRDefault="00A14C1E" w:rsidP="009E7EE3">
            <w:pPr>
              <w:numPr>
                <w:ilvl w:val="0"/>
                <w:numId w:val="16"/>
              </w:numPr>
              <w:spacing w:line="440" w:lineRule="exact"/>
              <w:ind w:left="567" w:hanging="567"/>
              <w:rPr>
                <w:rFonts w:eastAsia="標楷體"/>
                <w:sz w:val="28"/>
                <w:szCs w:val="28"/>
              </w:rPr>
            </w:pPr>
            <w:r w:rsidRPr="00A14C1E">
              <w:rPr>
                <w:rFonts w:eastAsia="標楷體" w:hAnsi="標楷體" w:hint="eastAsia"/>
                <w:sz w:val="28"/>
                <w:szCs w:val="28"/>
              </w:rPr>
              <w:t>參酌衍商管理辦法第二十一條</w:t>
            </w:r>
            <w:r w:rsidRPr="00A14C1E">
              <w:rPr>
                <w:rFonts w:eastAsia="標楷體" w:hAnsi="標楷體" w:hint="eastAsia"/>
                <w:sz w:val="28"/>
                <w:szCs w:val="28"/>
              </w:rPr>
              <w:lastRenderedPageBreak/>
              <w:t>並依據</w:t>
            </w:r>
            <w:r w:rsidRPr="00A14C1E">
              <w:rPr>
                <w:rFonts w:eastAsia="標楷體" w:hAnsi="標楷體"/>
                <w:sz w:val="28"/>
                <w:szCs w:val="28"/>
              </w:rPr>
              <w:t>金管會</w:t>
            </w:r>
            <w:r w:rsidRPr="00A14C1E">
              <w:rPr>
                <w:rFonts w:eastAsia="標楷體"/>
                <w:sz w:val="28"/>
                <w:szCs w:val="28"/>
              </w:rPr>
              <w:t>104</w:t>
            </w:r>
            <w:r w:rsidRPr="00A14C1E">
              <w:rPr>
                <w:rFonts w:eastAsia="標楷體" w:hAnsi="標楷體"/>
                <w:sz w:val="28"/>
                <w:szCs w:val="28"/>
              </w:rPr>
              <w:t>年</w:t>
            </w:r>
            <w:r w:rsidRPr="00A14C1E">
              <w:rPr>
                <w:rFonts w:eastAsia="標楷體"/>
                <w:sz w:val="28"/>
                <w:szCs w:val="28"/>
              </w:rPr>
              <w:t>11</w:t>
            </w:r>
            <w:r w:rsidRPr="00A14C1E">
              <w:rPr>
                <w:rFonts w:eastAsia="標楷體" w:hAnsi="標楷體"/>
                <w:sz w:val="28"/>
                <w:szCs w:val="28"/>
              </w:rPr>
              <w:t>月</w:t>
            </w:r>
            <w:r w:rsidRPr="00A14C1E">
              <w:rPr>
                <w:rFonts w:eastAsia="標楷體"/>
                <w:sz w:val="28"/>
                <w:szCs w:val="28"/>
              </w:rPr>
              <w:t>10</w:t>
            </w:r>
            <w:r w:rsidRPr="00A14C1E">
              <w:rPr>
                <w:rFonts w:eastAsia="標楷體" w:hAnsi="標楷體"/>
                <w:sz w:val="28"/>
                <w:szCs w:val="28"/>
              </w:rPr>
              <w:t>日金管銀外字第</w:t>
            </w:r>
            <w:r w:rsidRPr="00A14C1E">
              <w:rPr>
                <w:rFonts w:eastAsia="標楷體"/>
                <w:sz w:val="28"/>
                <w:szCs w:val="28"/>
              </w:rPr>
              <w:t>10450004030</w:t>
            </w:r>
            <w:r w:rsidRPr="00A14C1E">
              <w:rPr>
                <w:rFonts w:eastAsia="標楷體" w:hAnsi="標楷體"/>
                <w:sz w:val="28"/>
                <w:szCs w:val="28"/>
              </w:rPr>
              <w:t>號函</w:t>
            </w:r>
            <w:r w:rsidRPr="00A14C1E">
              <w:rPr>
                <w:rFonts w:eastAsia="標楷體" w:hAnsi="標楷體" w:hint="eastAsia"/>
                <w:sz w:val="28"/>
                <w:szCs w:val="28"/>
              </w:rPr>
              <w:t>指示，強化</w:t>
            </w:r>
            <w:r w:rsidRPr="00A14C1E">
              <w:rPr>
                <w:rFonts w:eastAsia="標楷體" w:hAnsi="標楷體"/>
                <w:sz w:val="28"/>
                <w:szCs w:val="28"/>
              </w:rPr>
              <w:t>銀行與專業機構投資人及高淨值投資法人</w:t>
            </w:r>
            <w:r w:rsidRPr="00A14C1E">
              <w:rPr>
                <w:rFonts w:eastAsia="標楷體" w:hAnsi="標楷體" w:hint="eastAsia"/>
                <w:sz w:val="28"/>
                <w:szCs w:val="28"/>
              </w:rPr>
              <w:t>以外</w:t>
            </w:r>
            <w:r w:rsidRPr="00A14C1E">
              <w:rPr>
                <w:rFonts w:eastAsia="標楷體" w:hAnsi="標楷體"/>
                <w:sz w:val="28"/>
                <w:szCs w:val="28"/>
              </w:rPr>
              <w:t>之客戶辦理衍生性金融商品交易</w:t>
            </w:r>
            <w:r w:rsidRPr="00A14C1E">
              <w:rPr>
                <w:rFonts w:eastAsia="標楷體" w:hAnsi="標楷體" w:hint="eastAsia"/>
                <w:sz w:val="28"/>
                <w:szCs w:val="28"/>
              </w:rPr>
              <w:t>之</w:t>
            </w:r>
            <w:r w:rsidRPr="00A14C1E">
              <w:rPr>
                <w:rFonts w:eastAsia="標楷體" w:hAnsi="標楷體"/>
                <w:sz w:val="28"/>
                <w:szCs w:val="28"/>
              </w:rPr>
              <w:t>資訊揭露，增訂第二項第四、六及七款</w:t>
            </w:r>
            <w:r w:rsidRPr="00A14C1E">
              <w:rPr>
                <w:rFonts w:eastAsia="標楷體" w:hAnsi="標楷體" w:hint="eastAsia"/>
                <w:sz w:val="28"/>
                <w:szCs w:val="28"/>
              </w:rPr>
              <w:t>。</w:t>
            </w:r>
          </w:p>
          <w:p w:rsidR="002830AA" w:rsidRPr="00F066E2" w:rsidRDefault="00A14C1E" w:rsidP="009E7EE3">
            <w:pPr>
              <w:numPr>
                <w:ilvl w:val="0"/>
                <w:numId w:val="16"/>
              </w:numPr>
              <w:spacing w:line="440" w:lineRule="exact"/>
              <w:ind w:left="567" w:hanging="567"/>
              <w:rPr>
                <w:rFonts w:eastAsia="標楷體"/>
                <w:sz w:val="28"/>
                <w:szCs w:val="28"/>
              </w:rPr>
            </w:pPr>
            <w:r w:rsidRPr="00A14C1E">
              <w:rPr>
                <w:rFonts w:eastAsia="標楷體" w:hAnsi="標楷體" w:hint="eastAsia"/>
                <w:sz w:val="28"/>
                <w:szCs w:val="28"/>
              </w:rPr>
              <w:t>有關本條第二項第七款部分，</w:t>
            </w:r>
            <w:r w:rsidR="005D7A67" w:rsidRPr="00F16ACD">
              <w:rPr>
                <w:rFonts w:eastAsia="標楷體" w:hAnsi="標楷體" w:hint="eastAsia"/>
                <w:color w:val="000000" w:themeColor="text1"/>
                <w:sz w:val="28"/>
                <w:szCs w:val="28"/>
              </w:rPr>
              <w:t>依據</w:t>
            </w:r>
            <w:r w:rsidR="005D7A67" w:rsidRPr="00F16ACD">
              <w:rPr>
                <w:rFonts w:eastAsia="標楷體" w:hAnsi="標楷體"/>
                <w:color w:val="000000" w:themeColor="text1"/>
                <w:sz w:val="28"/>
                <w:szCs w:val="28"/>
              </w:rPr>
              <w:t>金管會</w:t>
            </w:r>
            <w:r w:rsidR="005D7A67" w:rsidRPr="00F16ACD">
              <w:rPr>
                <w:rFonts w:eastAsia="標楷體"/>
                <w:color w:val="000000" w:themeColor="text1"/>
                <w:sz w:val="28"/>
                <w:szCs w:val="28"/>
              </w:rPr>
              <w:t>104</w:t>
            </w:r>
            <w:r w:rsidR="005D7A67" w:rsidRPr="00F16ACD">
              <w:rPr>
                <w:rFonts w:eastAsia="標楷體" w:hAnsi="標楷體"/>
                <w:color w:val="000000" w:themeColor="text1"/>
                <w:sz w:val="28"/>
                <w:szCs w:val="28"/>
              </w:rPr>
              <w:t>年</w:t>
            </w:r>
            <w:r w:rsidR="005D7A67" w:rsidRPr="00F16ACD">
              <w:rPr>
                <w:rFonts w:eastAsia="標楷體"/>
                <w:color w:val="000000" w:themeColor="text1"/>
                <w:sz w:val="28"/>
                <w:szCs w:val="28"/>
              </w:rPr>
              <w:t>11</w:t>
            </w:r>
            <w:r w:rsidR="005D7A67" w:rsidRPr="00F16ACD">
              <w:rPr>
                <w:rFonts w:eastAsia="標楷體" w:hAnsi="標楷體"/>
                <w:color w:val="000000" w:themeColor="text1"/>
                <w:sz w:val="28"/>
                <w:szCs w:val="28"/>
              </w:rPr>
              <w:t>月</w:t>
            </w:r>
            <w:r w:rsidR="005D7A67" w:rsidRPr="00F16ACD">
              <w:rPr>
                <w:rFonts w:eastAsia="標楷體"/>
                <w:color w:val="000000" w:themeColor="text1"/>
                <w:sz w:val="28"/>
                <w:szCs w:val="28"/>
              </w:rPr>
              <w:t>10</w:t>
            </w:r>
            <w:r w:rsidR="005D7A67" w:rsidRPr="00F16ACD">
              <w:rPr>
                <w:rFonts w:eastAsia="標楷體" w:hAnsi="標楷體"/>
                <w:color w:val="000000" w:themeColor="text1"/>
                <w:sz w:val="28"/>
                <w:szCs w:val="28"/>
              </w:rPr>
              <w:t>日金管銀外字第</w:t>
            </w:r>
            <w:r w:rsidR="005D7A67" w:rsidRPr="00F16ACD">
              <w:rPr>
                <w:rFonts w:eastAsia="標楷體"/>
                <w:color w:val="000000" w:themeColor="text1"/>
                <w:sz w:val="28"/>
                <w:szCs w:val="28"/>
              </w:rPr>
              <w:t>10450004030</w:t>
            </w:r>
            <w:r w:rsidR="005D7A67" w:rsidRPr="00F16ACD">
              <w:rPr>
                <w:rFonts w:eastAsia="標楷體" w:hAnsi="標楷體"/>
                <w:color w:val="000000" w:themeColor="text1"/>
                <w:sz w:val="28"/>
                <w:szCs w:val="28"/>
              </w:rPr>
              <w:t>號函</w:t>
            </w:r>
            <w:r w:rsidR="005D7A67" w:rsidRPr="00F16ACD">
              <w:rPr>
                <w:rFonts w:eastAsia="標楷體" w:hAnsi="標楷體" w:hint="eastAsia"/>
                <w:color w:val="000000" w:themeColor="text1"/>
                <w:sz w:val="28"/>
                <w:szCs w:val="28"/>
              </w:rPr>
              <w:t>，</w:t>
            </w:r>
            <w:r w:rsidR="005D7A67" w:rsidRPr="00F16ACD">
              <w:rPr>
                <w:rFonts w:eastAsia="標楷體" w:hAnsi="標楷體"/>
                <w:color w:val="000000" w:themeColor="text1"/>
                <w:sz w:val="28"/>
                <w:szCs w:val="28"/>
              </w:rPr>
              <w:t>客戶提前終止交易之費用收取計算方式，費用收取應合理反映客戶違約所生之作業成本，不得計收不合理費用</w:t>
            </w:r>
            <w:r w:rsidR="005D7A67" w:rsidRPr="00F16ACD">
              <w:rPr>
                <w:rFonts w:eastAsia="標楷體" w:hAnsi="標楷體" w:hint="eastAsia"/>
                <w:color w:val="000000" w:themeColor="text1"/>
                <w:sz w:val="28"/>
                <w:szCs w:val="28"/>
              </w:rPr>
              <w:t>，</w:t>
            </w:r>
            <w:r w:rsidRPr="00A14C1E">
              <w:rPr>
                <w:rFonts w:eastAsia="標楷體" w:hAnsi="標楷體" w:hint="eastAsia"/>
                <w:sz w:val="28"/>
                <w:szCs w:val="28"/>
              </w:rPr>
              <w:t>客戶若為停損而提前終止交易，銀行應僅限收取作業成本，不得包含資金成本或風險成本等費用。</w:t>
            </w:r>
          </w:p>
          <w:p w:rsidR="001F76DC" w:rsidRDefault="00A14C1E">
            <w:pPr>
              <w:spacing w:line="420" w:lineRule="exact"/>
              <w:ind w:left="580" w:hangingChars="207" w:hanging="580"/>
              <w:rPr>
                <w:rFonts w:eastAsia="標楷體"/>
                <w:color w:val="000000"/>
                <w:sz w:val="28"/>
                <w:szCs w:val="28"/>
              </w:rPr>
            </w:pPr>
            <w:r w:rsidRPr="00A14C1E">
              <w:rPr>
                <w:rFonts w:eastAsia="標楷體" w:hAnsi="標楷體" w:hint="eastAsia"/>
                <w:sz w:val="28"/>
                <w:szCs w:val="28"/>
              </w:rPr>
              <w:t>六</w:t>
            </w:r>
            <w:r>
              <w:rPr>
                <w:rFonts w:ascii="新細明體" w:hAnsi="新細明體" w:hint="eastAsia"/>
                <w:sz w:val="28"/>
                <w:szCs w:val="28"/>
              </w:rPr>
              <w:t>、</w:t>
            </w:r>
            <w:r w:rsidR="00993FC1" w:rsidRPr="00D84C19">
              <w:rPr>
                <w:rFonts w:eastAsia="標楷體" w:hAnsi="標楷體"/>
                <w:sz w:val="28"/>
                <w:szCs w:val="28"/>
              </w:rPr>
              <w:t>參酌中央銀行</w:t>
            </w:r>
            <w:r w:rsidR="008D3655" w:rsidRPr="00D84C19">
              <w:rPr>
                <w:rFonts w:eastAsia="標楷體"/>
                <w:sz w:val="28"/>
                <w:szCs w:val="28"/>
              </w:rPr>
              <w:t>104</w:t>
            </w:r>
            <w:r w:rsidR="008D3655" w:rsidRPr="00D84C19">
              <w:rPr>
                <w:rFonts w:eastAsia="標楷體" w:hAnsi="標楷體"/>
                <w:sz w:val="28"/>
                <w:szCs w:val="28"/>
              </w:rPr>
              <w:t>年</w:t>
            </w:r>
            <w:r w:rsidR="008D3655" w:rsidRPr="00D84C19">
              <w:rPr>
                <w:rFonts w:eastAsia="標楷體"/>
                <w:sz w:val="28"/>
                <w:szCs w:val="28"/>
              </w:rPr>
              <w:t>5</w:t>
            </w:r>
            <w:r w:rsidR="008D3655" w:rsidRPr="00D84C19">
              <w:rPr>
                <w:rFonts w:eastAsia="標楷體" w:hAnsi="標楷體"/>
                <w:sz w:val="28"/>
                <w:szCs w:val="28"/>
              </w:rPr>
              <w:t>月</w:t>
            </w:r>
            <w:r w:rsidR="008D3655" w:rsidRPr="00D84C19">
              <w:rPr>
                <w:rFonts w:eastAsia="標楷體"/>
                <w:sz w:val="28"/>
                <w:szCs w:val="28"/>
              </w:rPr>
              <w:t>22</w:t>
            </w:r>
            <w:r w:rsidR="008D3655" w:rsidRPr="00D84C19">
              <w:rPr>
                <w:rFonts w:eastAsia="標楷體" w:hAnsi="標楷體"/>
                <w:sz w:val="28"/>
                <w:szCs w:val="28"/>
              </w:rPr>
              <w:t>日「銀行業辦理外匯業務管理辦法」</w:t>
            </w:r>
            <w:bookmarkStart w:id="0" w:name="_GoBack"/>
            <w:bookmarkEnd w:id="0"/>
            <w:r w:rsidR="008D3655" w:rsidRPr="00D84C19">
              <w:rPr>
                <w:rFonts w:eastAsia="標楷體" w:hAnsi="標楷體"/>
                <w:sz w:val="28"/>
                <w:szCs w:val="28"/>
              </w:rPr>
              <w:t>第三十一條</w:t>
            </w:r>
            <w:r w:rsidR="00466E99">
              <w:rPr>
                <w:rFonts w:eastAsia="標楷體" w:hAnsi="標楷體" w:hint="eastAsia"/>
                <w:sz w:val="28"/>
                <w:szCs w:val="28"/>
              </w:rPr>
              <w:t>，</w:t>
            </w:r>
            <w:r w:rsidR="008D3655" w:rsidRPr="00D84C19">
              <w:rPr>
                <w:rFonts w:eastAsia="標楷體" w:hAnsi="標楷體"/>
                <w:sz w:val="28"/>
                <w:szCs w:val="28"/>
              </w:rPr>
              <w:t>涉及新臺幣外匯衍生性商品</w:t>
            </w:r>
            <w:r w:rsidR="00993FC1" w:rsidRPr="00D84C19">
              <w:rPr>
                <w:rFonts w:eastAsia="標楷體" w:hAnsi="標楷體"/>
                <w:sz w:val="28"/>
                <w:szCs w:val="28"/>
              </w:rPr>
              <w:t>交易須具實</w:t>
            </w:r>
            <w:r w:rsidR="00466E99">
              <w:rPr>
                <w:rFonts w:eastAsia="標楷體" w:hAnsi="標楷體" w:hint="eastAsia"/>
                <w:sz w:val="28"/>
                <w:szCs w:val="28"/>
              </w:rPr>
              <w:t>際</w:t>
            </w:r>
            <w:r w:rsidR="00993FC1" w:rsidRPr="00D84C19">
              <w:rPr>
                <w:rFonts w:eastAsia="標楷體" w:hAnsi="標楷體"/>
                <w:sz w:val="28"/>
                <w:szCs w:val="28"/>
              </w:rPr>
              <w:t>需</w:t>
            </w:r>
            <w:r w:rsidR="00466E99">
              <w:rPr>
                <w:rFonts w:eastAsia="標楷體" w:hAnsi="標楷體" w:hint="eastAsia"/>
                <w:sz w:val="28"/>
                <w:szCs w:val="28"/>
              </w:rPr>
              <w:t>要</w:t>
            </w:r>
            <w:r w:rsidR="00993FC1" w:rsidRPr="00D84C19">
              <w:rPr>
                <w:rFonts w:eastAsia="標楷體" w:hAnsi="標楷體"/>
                <w:sz w:val="28"/>
                <w:szCs w:val="28"/>
              </w:rPr>
              <w:t>原則之規定</w:t>
            </w:r>
            <w:r w:rsidR="008D3655" w:rsidRPr="00D84C19">
              <w:rPr>
                <w:rFonts w:eastAsia="標楷體" w:hAnsi="標楷體"/>
                <w:sz w:val="28"/>
                <w:szCs w:val="28"/>
              </w:rPr>
              <w:t>，</w:t>
            </w:r>
            <w:r w:rsidR="00993FC1" w:rsidRPr="00D84C19">
              <w:rPr>
                <w:rFonts w:eastAsia="標楷體" w:hAnsi="標楷體"/>
                <w:sz w:val="28"/>
                <w:szCs w:val="28"/>
              </w:rPr>
              <w:t>調整</w:t>
            </w:r>
            <w:r w:rsidR="008D3655" w:rsidRPr="00D84C19">
              <w:rPr>
                <w:rFonts w:eastAsia="標楷體" w:hAnsi="標楷體"/>
                <w:sz w:val="28"/>
                <w:szCs w:val="28"/>
              </w:rPr>
              <w:t>賣出或隱含賣出匯率選擇權類商品</w:t>
            </w:r>
            <w:r w:rsidR="00993FC1" w:rsidRPr="00D84C19">
              <w:rPr>
                <w:rFonts w:eastAsia="標楷體" w:hAnsi="標楷體"/>
                <w:sz w:val="28"/>
                <w:szCs w:val="28"/>
              </w:rPr>
              <w:t>避險定</w:t>
            </w:r>
            <w:r w:rsidR="00993FC1" w:rsidRPr="00D84C19">
              <w:rPr>
                <w:rFonts w:eastAsia="標楷體" w:hAnsi="標楷體"/>
                <w:sz w:val="28"/>
                <w:szCs w:val="28"/>
              </w:rPr>
              <w:lastRenderedPageBreak/>
              <w:t>義</w:t>
            </w:r>
            <w:r w:rsidR="008D3655" w:rsidRPr="00D84C19">
              <w:rPr>
                <w:rFonts w:eastAsia="標楷體" w:hAnsi="標楷體"/>
                <w:sz w:val="28"/>
                <w:szCs w:val="28"/>
              </w:rPr>
              <w:t>，</w:t>
            </w:r>
            <w:r w:rsidR="002F4DA1" w:rsidRPr="00D84C19">
              <w:rPr>
                <w:rFonts w:eastAsia="標楷體" w:hAnsi="標楷體"/>
                <w:sz w:val="28"/>
                <w:szCs w:val="28"/>
              </w:rPr>
              <w:t>且</w:t>
            </w:r>
            <w:r w:rsidR="00466E99">
              <w:rPr>
                <w:rFonts w:eastAsia="標楷體" w:hAnsi="標楷體" w:hint="eastAsia"/>
                <w:sz w:val="28"/>
                <w:szCs w:val="28"/>
              </w:rPr>
              <w:t>本項</w:t>
            </w:r>
            <w:r w:rsidR="00466E99">
              <w:rPr>
                <w:rFonts w:eastAsia="標楷體" w:hAnsi="標楷體" w:hint="eastAsia"/>
                <w:sz w:val="28"/>
                <w:szCs w:val="28"/>
              </w:rPr>
              <w:t>(</w:t>
            </w:r>
            <w:r w:rsidR="002F4DA1" w:rsidRPr="00D84C19">
              <w:rPr>
                <w:rFonts w:eastAsia="標楷體" w:hAnsi="標楷體"/>
                <w:sz w:val="28"/>
                <w:szCs w:val="28"/>
              </w:rPr>
              <w:t>第三項</w:t>
            </w:r>
            <w:r w:rsidR="00466E99">
              <w:rPr>
                <w:rFonts w:eastAsia="標楷體" w:hAnsi="標楷體" w:hint="eastAsia"/>
                <w:sz w:val="28"/>
                <w:szCs w:val="28"/>
              </w:rPr>
              <w:t>)</w:t>
            </w:r>
            <w:r w:rsidR="00466E99">
              <w:rPr>
                <w:rFonts w:eastAsia="標楷體" w:hAnsi="標楷體" w:hint="eastAsia"/>
                <w:sz w:val="28"/>
                <w:szCs w:val="28"/>
              </w:rPr>
              <w:t>之規定</w:t>
            </w:r>
            <w:r w:rsidR="002F4DA1" w:rsidRPr="00D84C19">
              <w:rPr>
                <w:rFonts w:eastAsia="標楷體" w:hAnsi="標楷體"/>
                <w:sz w:val="28"/>
                <w:szCs w:val="28"/>
              </w:rPr>
              <w:t>適用至所有</w:t>
            </w:r>
            <w:r w:rsidR="0044060A">
              <w:rPr>
                <w:rFonts w:eastAsia="標楷體" w:hAnsi="標楷體" w:hint="eastAsia"/>
                <w:sz w:val="28"/>
                <w:szCs w:val="28"/>
              </w:rPr>
              <w:t>非屬結構型商品之</w:t>
            </w:r>
            <w:r w:rsidR="002F4DA1" w:rsidRPr="00D84C19">
              <w:rPr>
                <w:rFonts w:eastAsia="標楷體" w:hAnsi="標楷體"/>
                <w:sz w:val="28"/>
                <w:szCs w:val="28"/>
              </w:rPr>
              <w:t>衍生性商品交易</w:t>
            </w:r>
            <w:r w:rsidR="00993FC1" w:rsidRPr="00D84C19">
              <w:rPr>
                <w:rFonts w:eastAsia="標楷體" w:hAnsi="標楷體"/>
                <w:sz w:val="28"/>
                <w:szCs w:val="28"/>
              </w:rPr>
              <w:t>。</w:t>
            </w:r>
          </w:p>
          <w:p w:rsidR="001F76DC" w:rsidRDefault="001F76DC">
            <w:pPr>
              <w:spacing w:line="420" w:lineRule="exact"/>
              <w:ind w:left="567"/>
              <w:rPr>
                <w:rFonts w:eastAsia="標楷體" w:hAnsi="標楷體"/>
                <w:sz w:val="28"/>
                <w:szCs w:val="28"/>
              </w:rPr>
            </w:pPr>
          </w:p>
          <w:p w:rsidR="001F76DC" w:rsidRDefault="001F76DC">
            <w:pPr>
              <w:spacing w:line="420" w:lineRule="exact"/>
              <w:ind w:left="567"/>
              <w:rPr>
                <w:rFonts w:eastAsia="標楷體"/>
                <w:color w:val="000000"/>
                <w:sz w:val="28"/>
                <w:szCs w:val="28"/>
              </w:rPr>
            </w:pPr>
          </w:p>
        </w:tc>
      </w:tr>
      <w:tr w:rsidR="002C3186" w:rsidRPr="00D84C19" w:rsidTr="00FF5FA8">
        <w:trPr>
          <w:trHeight w:val="541"/>
        </w:trPr>
        <w:tc>
          <w:tcPr>
            <w:tcW w:w="4671" w:type="dxa"/>
            <w:shd w:val="clear" w:color="auto" w:fill="auto"/>
          </w:tcPr>
          <w:p w:rsidR="001F76DC" w:rsidRDefault="00EA5EDA" w:rsidP="0044060A">
            <w:pPr>
              <w:pStyle w:val="ab"/>
              <w:kinsoku w:val="0"/>
              <w:snapToGrid w:val="0"/>
              <w:spacing w:beforeLines="20" w:line="360" w:lineRule="exact"/>
              <w:ind w:left="0"/>
              <w:rPr>
                <w:rFonts w:ascii="Cambria" w:hAnsi="Cambria"/>
                <w:sz w:val="28"/>
                <w:szCs w:val="28"/>
                <w:u w:val="single"/>
              </w:rPr>
            </w:pPr>
            <w:r w:rsidRPr="00D84C19">
              <w:rPr>
                <w:rFonts w:hAnsi="標楷體"/>
                <w:sz w:val="28"/>
                <w:szCs w:val="28"/>
                <w:u w:val="single"/>
              </w:rPr>
              <w:lastRenderedPageBreak/>
              <w:t>第二十五</w:t>
            </w:r>
            <w:r w:rsidR="002F4DA1" w:rsidRPr="00D84C19">
              <w:rPr>
                <w:rFonts w:hAnsi="標楷體"/>
                <w:sz w:val="28"/>
                <w:szCs w:val="28"/>
                <w:u w:val="single"/>
              </w:rPr>
              <w:t>之一</w:t>
            </w:r>
            <w:r w:rsidRPr="00D84C19">
              <w:rPr>
                <w:rFonts w:hAnsi="標楷體"/>
                <w:sz w:val="28"/>
                <w:szCs w:val="28"/>
                <w:u w:val="single"/>
              </w:rPr>
              <w:t>條</w:t>
            </w:r>
          </w:p>
          <w:p w:rsidR="001F76DC" w:rsidRDefault="00EA5EDA" w:rsidP="0044060A">
            <w:pPr>
              <w:pStyle w:val="ab"/>
              <w:kinsoku w:val="0"/>
              <w:snapToGrid w:val="0"/>
              <w:spacing w:beforeLines="20" w:line="360" w:lineRule="exact"/>
              <w:ind w:left="0" w:firstLineChars="200" w:firstLine="560"/>
              <w:rPr>
                <w:rFonts w:ascii="Cambria" w:hAnsi="Cambria"/>
                <w:sz w:val="28"/>
                <w:szCs w:val="28"/>
                <w:u w:val="single"/>
              </w:rPr>
            </w:pPr>
            <w:r w:rsidRPr="00D84C19">
              <w:rPr>
                <w:rFonts w:hAnsi="標楷體"/>
                <w:sz w:val="28"/>
                <w:szCs w:val="28"/>
                <w:u w:val="single"/>
              </w:rPr>
              <w:t>銀行與專業機構投資人及</w:t>
            </w:r>
            <w:r w:rsidRPr="00D84C19">
              <w:rPr>
                <w:rFonts w:hAnsi="標楷體"/>
                <w:b/>
                <w:sz w:val="28"/>
                <w:szCs w:val="28"/>
                <w:u w:val="single"/>
              </w:rPr>
              <w:t>高淨值投資法人以外</w:t>
            </w:r>
            <w:r w:rsidRPr="00D84C19">
              <w:rPr>
                <w:rFonts w:hAnsi="標楷體"/>
                <w:sz w:val="28"/>
                <w:szCs w:val="28"/>
                <w:u w:val="single"/>
              </w:rPr>
              <w:t>之客戶辦理複雜性高風險商品業務應符合下列原則：</w:t>
            </w:r>
          </w:p>
          <w:p w:rsidR="001F76DC" w:rsidRDefault="00EA5EDA" w:rsidP="0044060A">
            <w:pPr>
              <w:pStyle w:val="ab"/>
              <w:numPr>
                <w:ilvl w:val="0"/>
                <w:numId w:val="11"/>
              </w:numPr>
              <w:kinsoku w:val="0"/>
              <w:snapToGrid w:val="0"/>
              <w:spacing w:beforeLines="20" w:line="360" w:lineRule="exact"/>
              <w:ind w:left="567" w:hanging="567"/>
              <w:rPr>
                <w:rFonts w:ascii="Cambria" w:hAnsi="Cambria"/>
                <w:b/>
                <w:sz w:val="28"/>
                <w:szCs w:val="28"/>
                <w:u w:val="single"/>
              </w:rPr>
            </w:pPr>
            <w:r w:rsidRPr="00D84C19">
              <w:rPr>
                <w:rFonts w:hAnsi="標楷體"/>
                <w:b/>
                <w:sz w:val="28"/>
                <w:szCs w:val="28"/>
                <w:u w:val="single"/>
              </w:rPr>
              <w:t>客戶應具備</w:t>
            </w:r>
            <w:r w:rsidR="006C2FED" w:rsidRPr="00D84C19">
              <w:rPr>
                <w:rFonts w:hAnsi="標楷體"/>
                <w:b/>
                <w:sz w:val="28"/>
                <w:szCs w:val="28"/>
                <w:u w:val="single"/>
              </w:rPr>
              <w:t>承作複雜性高風險商品之交易經驗，或應至少同時具備下列交易經驗條件：</w:t>
            </w:r>
          </w:p>
          <w:p w:rsidR="001F76DC" w:rsidRDefault="006C2FED" w:rsidP="0044060A">
            <w:pPr>
              <w:pStyle w:val="ab"/>
              <w:numPr>
                <w:ilvl w:val="1"/>
                <w:numId w:val="11"/>
              </w:numPr>
              <w:kinsoku w:val="0"/>
              <w:snapToGrid w:val="0"/>
              <w:spacing w:beforeLines="20" w:line="360" w:lineRule="exact"/>
              <w:rPr>
                <w:rFonts w:ascii="Cambria" w:hAnsi="Cambria"/>
                <w:b/>
                <w:sz w:val="28"/>
                <w:szCs w:val="28"/>
                <w:u w:val="single"/>
              </w:rPr>
            </w:pPr>
            <w:r w:rsidRPr="00D84C19">
              <w:rPr>
                <w:rFonts w:hAnsi="標楷體"/>
                <w:b/>
                <w:sz w:val="28"/>
                <w:szCs w:val="28"/>
                <w:u w:val="single"/>
              </w:rPr>
              <w:t>承作衍生性金融商品交易經驗達一年以上。</w:t>
            </w:r>
          </w:p>
          <w:p w:rsidR="001F76DC" w:rsidRDefault="006C2FED" w:rsidP="0044060A">
            <w:pPr>
              <w:pStyle w:val="ab"/>
              <w:numPr>
                <w:ilvl w:val="1"/>
                <w:numId w:val="11"/>
              </w:numPr>
              <w:kinsoku w:val="0"/>
              <w:snapToGrid w:val="0"/>
              <w:spacing w:beforeLines="20" w:line="360" w:lineRule="exact"/>
              <w:rPr>
                <w:rFonts w:ascii="Cambria" w:hAnsi="Cambria"/>
                <w:b/>
                <w:sz w:val="28"/>
                <w:szCs w:val="28"/>
                <w:u w:val="single"/>
              </w:rPr>
            </w:pPr>
            <w:r w:rsidRPr="00D84C19">
              <w:rPr>
                <w:rFonts w:hAnsi="標楷體"/>
                <w:b/>
                <w:sz w:val="28"/>
                <w:szCs w:val="28"/>
                <w:u w:val="single"/>
              </w:rPr>
              <w:t>最近一年內曾辦理隱含賣出選擇權之非屬結構型商品之衍生性金融商品交易。</w:t>
            </w:r>
          </w:p>
          <w:p w:rsidR="001F76DC" w:rsidRDefault="006C2FED" w:rsidP="0044060A">
            <w:pPr>
              <w:pStyle w:val="ab"/>
              <w:numPr>
                <w:ilvl w:val="0"/>
                <w:numId w:val="11"/>
              </w:numPr>
              <w:kinsoku w:val="0"/>
              <w:snapToGrid w:val="0"/>
              <w:spacing w:beforeLines="20" w:line="360" w:lineRule="exact"/>
              <w:ind w:left="567" w:hanging="567"/>
              <w:rPr>
                <w:rFonts w:ascii="Cambria" w:hAnsi="Cambria"/>
                <w:b/>
                <w:color w:val="FF0000"/>
                <w:sz w:val="28"/>
                <w:szCs w:val="28"/>
                <w:u w:val="single"/>
              </w:rPr>
            </w:pPr>
            <w:r w:rsidRPr="00D84C19">
              <w:rPr>
                <w:rFonts w:hAnsi="標楷體"/>
                <w:b/>
                <w:sz w:val="28"/>
                <w:szCs w:val="28"/>
                <w:u w:val="single"/>
              </w:rPr>
              <w:t>銀行</w:t>
            </w:r>
            <w:r w:rsidR="00EA5EDA" w:rsidRPr="00D84C19">
              <w:rPr>
                <w:rFonts w:hAnsi="標楷體"/>
                <w:b/>
                <w:sz w:val="28"/>
                <w:szCs w:val="28"/>
                <w:u w:val="single"/>
              </w:rPr>
              <w:t>應向客戶取得合理可信之</w:t>
            </w:r>
            <w:r w:rsidRPr="00D84C19">
              <w:rPr>
                <w:rFonts w:hAnsi="標楷體"/>
                <w:b/>
                <w:sz w:val="28"/>
                <w:szCs w:val="28"/>
                <w:u w:val="single"/>
              </w:rPr>
              <w:t>交易經驗</w:t>
            </w:r>
            <w:r w:rsidR="00EA5EDA" w:rsidRPr="00D84C19">
              <w:rPr>
                <w:rFonts w:hAnsi="標楷體"/>
                <w:b/>
                <w:sz w:val="28"/>
                <w:szCs w:val="28"/>
                <w:u w:val="single"/>
              </w:rPr>
              <w:t>佐證依據。</w:t>
            </w:r>
          </w:p>
          <w:p w:rsidR="001F76DC" w:rsidRDefault="00EA5EDA" w:rsidP="0044060A">
            <w:pPr>
              <w:pStyle w:val="ab"/>
              <w:numPr>
                <w:ilvl w:val="0"/>
                <w:numId w:val="11"/>
              </w:numPr>
              <w:tabs>
                <w:tab w:val="left" w:pos="567"/>
              </w:tabs>
              <w:kinsoku w:val="0"/>
              <w:snapToGrid w:val="0"/>
              <w:spacing w:beforeLines="20" w:line="360" w:lineRule="exact"/>
              <w:ind w:left="567" w:hanging="567"/>
              <w:rPr>
                <w:sz w:val="28"/>
                <w:szCs w:val="28"/>
                <w:u w:val="single"/>
              </w:rPr>
            </w:pPr>
            <w:r w:rsidRPr="00D84C19">
              <w:rPr>
                <w:rFonts w:hAnsi="標楷體"/>
                <w:sz w:val="28"/>
                <w:szCs w:val="28"/>
                <w:u w:val="single"/>
              </w:rPr>
              <w:t>銀行應就非以避險為目的承作之複雜性高風險商品建立客戶風險集中度控管機制</w:t>
            </w:r>
            <w:r w:rsidRPr="00D84C19">
              <w:rPr>
                <w:rFonts w:hAnsi="標楷體"/>
                <w:b/>
                <w:sz w:val="28"/>
                <w:szCs w:val="28"/>
                <w:u w:val="single"/>
              </w:rPr>
              <w:t>，</w:t>
            </w:r>
            <w:r w:rsidRPr="00D84C19">
              <w:rPr>
                <w:rFonts w:hAnsi="標楷體"/>
                <w:sz w:val="28"/>
                <w:szCs w:val="28"/>
                <w:u w:val="single"/>
              </w:rPr>
              <w:t>明確訂定客戶投資複雜性高風險商品所使用之</w:t>
            </w:r>
            <w:r w:rsidRPr="00D84C19">
              <w:rPr>
                <w:rFonts w:hAnsi="標楷體"/>
                <w:b/>
                <w:sz w:val="28"/>
                <w:szCs w:val="28"/>
                <w:u w:val="single"/>
              </w:rPr>
              <w:t>未來潛在暴險額（</w:t>
            </w:r>
            <w:r w:rsidRPr="00D84C19">
              <w:rPr>
                <w:b/>
                <w:sz w:val="28"/>
                <w:szCs w:val="28"/>
                <w:u w:val="single"/>
              </w:rPr>
              <w:t>MLIV</w:t>
            </w:r>
            <w:r w:rsidRPr="00D84C19">
              <w:rPr>
                <w:rFonts w:hAnsi="標楷體"/>
                <w:b/>
                <w:sz w:val="28"/>
                <w:szCs w:val="28"/>
                <w:u w:val="single"/>
              </w:rPr>
              <w:t>）加計暴險額</w:t>
            </w:r>
            <w:r w:rsidR="00EB14C5" w:rsidRPr="00D84C19">
              <w:rPr>
                <w:rFonts w:hAnsi="標楷體"/>
                <w:b/>
                <w:sz w:val="28"/>
                <w:szCs w:val="28"/>
                <w:u w:val="single"/>
              </w:rPr>
              <w:t>（</w:t>
            </w:r>
            <w:r w:rsidRPr="00D84C19">
              <w:rPr>
                <w:b/>
                <w:sz w:val="28"/>
                <w:szCs w:val="28"/>
                <w:u w:val="single"/>
              </w:rPr>
              <w:t>MTM</w:t>
            </w:r>
            <w:r w:rsidR="00EB14C5" w:rsidRPr="00D84C19">
              <w:rPr>
                <w:rFonts w:hAnsi="標楷體"/>
                <w:b/>
                <w:sz w:val="28"/>
                <w:szCs w:val="28"/>
                <w:u w:val="single"/>
              </w:rPr>
              <w:t>）</w:t>
            </w:r>
            <w:r w:rsidRPr="00D84C19">
              <w:rPr>
                <w:rFonts w:hAnsi="標楷體"/>
                <w:b/>
                <w:sz w:val="28"/>
                <w:szCs w:val="28"/>
                <w:u w:val="single"/>
              </w:rPr>
              <w:t>之總和</w:t>
            </w:r>
            <w:r w:rsidRPr="00D84C19">
              <w:rPr>
                <w:rFonts w:hAnsi="標楷體"/>
                <w:sz w:val="28"/>
                <w:szCs w:val="28"/>
                <w:u w:val="single"/>
              </w:rPr>
              <w:t>占</w:t>
            </w:r>
            <w:r w:rsidRPr="00D84C19">
              <w:rPr>
                <w:rFonts w:hAnsi="標楷體"/>
                <w:sz w:val="28"/>
                <w:szCs w:val="28"/>
                <w:u w:val="single"/>
              </w:rPr>
              <w:lastRenderedPageBreak/>
              <w:t>其衍生性商品暴險額度之最高比重</w:t>
            </w:r>
            <w:r w:rsidRPr="00D84C19">
              <w:rPr>
                <w:rFonts w:hAnsi="標楷體"/>
                <w:b/>
                <w:sz w:val="28"/>
                <w:szCs w:val="28"/>
                <w:u w:val="single"/>
              </w:rPr>
              <w:t>及逾限控管機制</w:t>
            </w:r>
            <w:r w:rsidRPr="00D84C19">
              <w:rPr>
                <w:rFonts w:hAnsi="標楷體"/>
                <w:sz w:val="28"/>
                <w:szCs w:val="28"/>
                <w:u w:val="single"/>
              </w:rPr>
              <w:t>。</w:t>
            </w:r>
          </w:p>
          <w:p w:rsidR="001F76DC" w:rsidRDefault="00EA5EDA" w:rsidP="0044060A">
            <w:pPr>
              <w:pStyle w:val="ab"/>
              <w:numPr>
                <w:ilvl w:val="0"/>
                <w:numId w:val="11"/>
              </w:numPr>
              <w:kinsoku w:val="0"/>
              <w:snapToGrid w:val="0"/>
              <w:spacing w:beforeLines="20" w:line="360" w:lineRule="exact"/>
              <w:ind w:left="567" w:hanging="567"/>
              <w:rPr>
                <w:rFonts w:ascii="Cambria" w:hAnsi="Cambria"/>
                <w:sz w:val="28"/>
                <w:szCs w:val="28"/>
                <w:u w:val="single"/>
              </w:rPr>
            </w:pPr>
            <w:r w:rsidRPr="00D84C19">
              <w:rPr>
                <w:rFonts w:hAnsi="標楷體"/>
                <w:sz w:val="28"/>
                <w:szCs w:val="28"/>
                <w:u w:val="single"/>
              </w:rPr>
              <w:t>銀行與客戶承作複雜性高風險商品交易應告知交易條件重要內容及相關風險，除以非臨櫃之自動化通路交易或客戶不予同意之情形外，應以錄音或錄影方式保留紀錄。</w:t>
            </w:r>
          </w:p>
          <w:p w:rsidR="001F76DC" w:rsidRDefault="00EA5EDA" w:rsidP="0044060A">
            <w:pPr>
              <w:pStyle w:val="ab"/>
              <w:numPr>
                <w:ilvl w:val="0"/>
                <w:numId w:val="11"/>
              </w:numPr>
              <w:kinsoku w:val="0"/>
              <w:snapToGrid w:val="0"/>
              <w:spacing w:beforeLines="20" w:line="360" w:lineRule="exact"/>
              <w:ind w:left="567" w:hanging="567"/>
              <w:rPr>
                <w:rFonts w:ascii="Cambria" w:hAnsi="Cambria"/>
                <w:sz w:val="28"/>
                <w:szCs w:val="28"/>
                <w:u w:val="single"/>
              </w:rPr>
            </w:pPr>
            <w:r w:rsidRPr="00D84C19">
              <w:rPr>
                <w:rFonts w:hAnsi="標楷體"/>
                <w:sz w:val="28"/>
                <w:szCs w:val="28"/>
                <w:u w:val="single"/>
              </w:rPr>
              <w:t>銀行應落實執行認識客戶及商品適合度制度，與非避險客戶辦理複雜性高風險商品時，所訂定之個別契約最大損失上限應有合理考量基礎。</w:t>
            </w:r>
          </w:p>
          <w:p w:rsidR="001F76DC" w:rsidRDefault="00EA5EDA" w:rsidP="0044060A">
            <w:pPr>
              <w:pStyle w:val="ab"/>
              <w:numPr>
                <w:ilvl w:val="0"/>
                <w:numId w:val="11"/>
              </w:numPr>
              <w:tabs>
                <w:tab w:val="left" w:pos="518"/>
              </w:tabs>
              <w:kinsoku w:val="0"/>
              <w:snapToGrid w:val="0"/>
              <w:spacing w:beforeLines="20" w:line="360" w:lineRule="exact"/>
              <w:ind w:left="567" w:hanging="567"/>
              <w:rPr>
                <w:rFonts w:ascii="Cambria" w:hAnsi="Cambria"/>
                <w:sz w:val="28"/>
                <w:szCs w:val="28"/>
                <w:u w:val="single"/>
              </w:rPr>
            </w:pPr>
            <w:r w:rsidRPr="00D84C19">
              <w:rPr>
                <w:rFonts w:hAnsi="標楷體"/>
                <w:sz w:val="28"/>
                <w:szCs w:val="28"/>
                <w:u w:val="single"/>
              </w:rPr>
              <w:t>提供予客戶之交易文件應</w:t>
            </w:r>
            <w:r w:rsidRPr="00D84C19">
              <w:rPr>
                <w:rFonts w:hAnsi="標楷體"/>
                <w:b/>
                <w:sz w:val="28"/>
                <w:szCs w:val="28"/>
                <w:u w:val="single"/>
              </w:rPr>
              <w:t>載明並</w:t>
            </w:r>
            <w:r w:rsidRPr="00D84C19">
              <w:rPr>
                <w:rFonts w:hAnsi="標楷體"/>
                <w:sz w:val="28"/>
                <w:szCs w:val="28"/>
                <w:u w:val="single"/>
              </w:rPr>
              <w:t>揭露該</w:t>
            </w:r>
            <w:r w:rsidRPr="00D84C19">
              <w:rPr>
                <w:rFonts w:hAnsi="標楷體"/>
                <w:b/>
                <w:sz w:val="28"/>
                <w:szCs w:val="28"/>
                <w:u w:val="single"/>
              </w:rPr>
              <w:t>筆交易</w:t>
            </w:r>
            <w:r w:rsidRPr="00D84C19">
              <w:rPr>
                <w:rFonts w:hAnsi="標楷體"/>
                <w:sz w:val="28"/>
                <w:szCs w:val="28"/>
                <w:u w:val="single"/>
              </w:rPr>
              <w:t>契約</w:t>
            </w:r>
            <w:r w:rsidRPr="00D84C19">
              <w:rPr>
                <w:rFonts w:hAnsi="標楷體"/>
                <w:b/>
                <w:sz w:val="28"/>
                <w:szCs w:val="28"/>
                <w:u w:val="single"/>
              </w:rPr>
              <w:t>之客戶</w:t>
            </w:r>
            <w:r w:rsidRPr="00D84C19">
              <w:rPr>
                <w:rFonts w:hAnsi="標楷體"/>
                <w:sz w:val="28"/>
                <w:szCs w:val="28"/>
                <w:u w:val="single"/>
              </w:rPr>
              <w:t>最大損失金額</w:t>
            </w:r>
            <w:r w:rsidRPr="00D84C19">
              <w:rPr>
                <w:rFonts w:hAnsi="標楷體"/>
                <w:b/>
                <w:sz w:val="28"/>
                <w:szCs w:val="28"/>
                <w:u w:val="single"/>
              </w:rPr>
              <w:t>及客戶提前終止交易之應支付金額計算方式等交易條件</w:t>
            </w:r>
            <w:r w:rsidRPr="00D84C19">
              <w:rPr>
                <w:rFonts w:hAnsi="標楷體"/>
                <w:sz w:val="28"/>
                <w:szCs w:val="28"/>
                <w:u w:val="single"/>
              </w:rPr>
              <w:t>，並要求客戶於該</w:t>
            </w:r>
            <w:r w:rsidRPr="00D84C19">
              <w:rPr>
                <w:rFonts w:hAnsi="標楷體"/>
                <w:b/>
                <w:sz w:val="28"/>
                <w:szCs w:val="28"/>
                <w:u w:val="single"/>
              </w:rPr>
              <w:t>最大損失金額處及交易條件</w:t>
            </w:r>
            <w:r w:rsidRPr="00D84C19">
              <w:rPr>
                <w:rFonts w:hAnsi="標楷體"/>
                <w:sz w:val="28"/>
                <w:szCs w:val="28"/>
                <w:u w:val="single"/>
              </w:rPr>
              <w:t>處簽名</w:t>
            </w:r>
            <w:r w:rsidRPr="00826ECC">
              <w:rPr>
                <w:rFonts w:hAnsi="標楷體"/>
                <w:b/>
                <w:bCs/>
                <w:sz w:val="28"/>
                <w:szCs w:val="28"/>
                <w:u w:val="single"/>
              </w:rPr>
              <w:t>或</w:t>
            </w:r>
            <w:r w:rsidRPr="00D84C19">
              <w:rPr>
                <w:rFonts w:hAnsi="標楷體"/>
                <w:sz w:val="28"/>
                <w:szCs w:val="28"/>
                <w:u w:val="single"/>
              </w:rPr>
              <w:t>蓋用原留印鑑之方式確認，以提高客戶風險意識，</w:t>
            </w:r>
            <w:r w:rsidRPr="00D84C19">
              <w:rPr>
                <w:rFonts w:hAnsi="標楷體"/>
                <w:b/>
                <w:sz w:val="28"/>
                <w:szCs w:val="28"/>
                <w:u w:val="single"/>
              </w:rPr>
              <w:t>並應提供客戶交易糾紛申訴管道</w:t>
            </w:r>
            <w:r w:rsidRPr="00D84C19">
              <w:rPr>
                <w:rFonts w:hAnsi="標楷體"/>
                <w:sz w:val="28"/>
                <w:szCs w:val="28"/>
                <w:u w:val="single"/>
              </w:rPr>
              <w:t>。</w:t>
            </w:r>
          </w:p>
          <w:p w:rsidR="001F76DC" w:rsidRDefault="00EA5EDA" w:rsidP="0044060A">
            <w:pPr>
              <w:pStyle w:val="ab"/>
              <w:kinsoku w:val="0"/>
              <w:snapToGrid w:val="0"/>
              <w:spacing w:beforeLines="20" w:line="360" w:lineRule="exact"/>
              <w:ind w:left="0"/>
              <w:rPr>
                <w:rFonts w:ascii="Cambria" w:hAnsi="Cambria"/>
                <w:sz w:val="28"/>
                <w:szCs w:val="28"/>
                <w:u w:val="single"/>
              </w:rPr>
            </w:pPr>
            <w:r w:rsidRPr="001E7822">
              <w:rPr>
                <w:rFonts w:hAnsi="標楷體"/>
                <w:sz w:val="28"/>
                <w:szCs w:val="28"/>
              </w:rPr>
              <w:t xml:space="preserve">　　</w:t>
            </w:r>
            <w:r w:rsidR="006C4755" w:rsidRPr="00D84C19">
              <w:rPr>
                <w:rFonts w:hAnsi="標楷體"/>
                <w:sz w:val="28"/>
                <w:szCs w:val="28"/>
                <w:u w:val="single"/>
              </w:rPr>
              <w:t>第一項第</w:t>
            </w:r>
            <w:r w:rsidR="003F6D94">
              <w:rPr>
                <w:rFonts w:hAnsi="標楷體" w:hint="eastAsia"/>
                <w:sz w:val="28"/>
                <w:szCs w:val="28"/>
                <w:u w:val="single"/>
              </w:rPr>
              <w:t>四</w:t>
            </w:r>
            <w:r w:rsidRPr="00D84C19">
              <w:rPr>
                <w:rFonts w:hAnsi="標楷體"/>
                <w:sz w:val="28"/>
                <w:szCs w:val="28"/>
                <w:u w:val="single"/>
              </w:rPr>
              <w:t>款所稱之交易條件重要內容及相關風險係指下列事項：</w:t>
            </w:r>
          </w:p>
          <w:p w:rsidR="001F76DC" w:rsidRDefault="00EA5EDA" w:rsidP="0044060A">
            <w:pPr>
              <w:pStyle w:val="ab"/>
              <w:kinsoku w:val="0"/>
              <w:snapToGrid w:val="0"/>
              <w:spacing w:beforeLines="20" w:line="360" w:lineRule="exact"/>
              <w:ind w:left="0"/>
              <w:rPr>
                <w:rFonts w:ascii="Cambria" w:hAnsi="Cambria"/>
                <w:sz w:val="28"/>
                <w:szCs w:val="28"/>
                <w:u w:val="single"/>
              </w:rPr>
            </w:pPr>
            <w:r w:rsidRPr="00D84C19">
              <w:rPr>
                <w:rFonts w:hAnsi="標楷體"/>
                <w:sz w:val="28"/>
                <w:szCs w:val="28"/>
                <w:u w:val="single"/>
              </w:rPr>
              <w:t>一、交易條件及重要內容</w:t>
            </w:r>
          </w:p>
          <w:p w:rsidR="001F76DC" w:rsidRDefault="00EA5EDA" w:rsidP="0044060A">
            <w:pPr>
              <w:pStyle w:val="ab"/>
              <w:kinsoku w:val="0"/>
              <w:snapToGrid w:val="0"/>
              <w:spacing w:beforeLines="20" w:line="360" w:lineRule="exact"/>
              <w:ind w:leftChars="118" w:left="944" w:hangingChars="236" w:hanging="661"/>
              <w:rPr>
                <w:rFonts w:ascii="Cambria" w:hAnsi="Cambria"/>
                <w:sz w:val="28"/>
                <w:szCs w:val="28"/>
                <w:u w:val="single"/>
              </w:rPr>
            </w:pPr>
            <w:r w:rsidRPr="00D84C19">
              <w:rPr>
                <w:rFonts w:hAnsi="標楷體"/>
                <w:sz w:val="28"/>
                <w:szCs w:val="28"/>
                <w:u w:val="single"/>
              </w:rPr>
              <w:t>（一）計價幣別。</w:t>
            </w:r>
          </w:p>
          <w:p w:rsidR="001F76DC" w:rsidRDefault="00EA5EDA" w:rsidP="0044060A">
            <w:pPr>
              <w:pStyle w:val="ab"/>
              <w:kinsoku w:val="0"/>
              <w:snapToGrid w:val="0"/>
              <w:spacing w:beforeLines="20" w:line="360" w:lineRule="exact"/>
              <w:ind w:leftChars="118" w:left="944" w:hangingChars="236" w:hanging="661"/>
              <w:rPr>
                <w:rFonts w:ascii="Cambria" w:hAnsi="Cambria"/>
                <w:sz w:val="28"/>
                <w:szCs w:val="28"/>
                <w:u w:val="single"/>
              </w:rPr>
            </w:pPr>
            <w:r w:rsidRPr="00D84C19">
              <w:rPr>
                <w:rFonts w:hAnsi="標楷體"/>
                <w:sz w:val="28"/>
                <w:szCs w:val="28"/>
                <w:u w:val="single"/>
              </w:rPr>
              <w:lastRenderedPageBreak/>
              <w:t>（二）交易日</w:t>
            </w:r>
            <w:r w:rsidRPr="00D84C19">
              <w:rPr>
                <w:sz w:val="28"/>
                <w:szCs w:val="28"/>
                <w:u w:val="single"/>
              </w:rPr>
              <w:t>/</w:t>
            </w:r>
            <w:r w:rsidRPr="00D84C19">
              <w:rPr>
                <w:rFonts w:hAnsi="標楷體"/>
                <w:sz w:val="28"/>
                <w:szCs w:val="28"/>
                <w:u w:val="single"/>
              </w:rPr>
              <w:t>生效日</w:t>
            </w:r>
            <w:r w:rsidRPr="00D84C19">
              <w:rPr>
                <w:sz w:val="28"/>
                <w:szCs w:val="28"/>
                <w:u w:val="single"/>
              </w:rPr>
              <w:t>/</w:t>
            </w:r>
            <w:r w:rsidRPr="00D84C19">
              <w:rPr>
                <w:rFonts w:hAnsi="標楷體"/>
                <w:sz w:val="28"/>
                <w:szCs w:val="28"/>
                <w:u w:val="single"/>
              </w:rPr>
              <w:t>到期日及其他依個別商品性質而定之日期。</w:t>
            </w:r>
          </w:p>
          <w:p w:rsidR="001F76DC" w:rsidRDefault="00EA5EDA" w:rsidP="0044060A">
            <w:pPr>
              <w:pStyle w:val="ab"/>
              <w:kinsoku w:val="0"/>
              <w:snapToGrid w:val="0"/>
              <w:spacing w:beforeLines="20" w:line="360" w:lineRule="exact"/>
              <w:ind w:leftChars="118" w:left="944" w:hangingChars="236" w:hanging="661"/>
              <w:rPr>
                <w:rFonts w:ascii="Cambria" w:hAnsi="Cambria"/>
                <w:sz w:val="28"/>
                <w:szCs w:val="28"/>
                <w:u w:val="single"/>
              </w:rPr>
            </w:pPr>
            <w:r w:rsidRPr="00D84C19">
              <w:rPr>
                <w:rFonts w:hAnsi="標楷體"/>
                <w:sz w:val="28"/>
                <w:szCs w:val="28"/>
                <w:u w:val="single"/>
              </w:rPr>
              <w:t>（三）連結標的類別或資產。</w:t>
            </w:r>
          </w:p>
          <w:p w:rsidR="001F76DC" w:rsidRDefault="00EA5EDA" w:rsidP="0044060A">
            <w:pPr>
              <w:pStyle w:val="ab"/>
              <w:kinsoku w:val="0"/>
              <w:snapToGrid w:val="0"/>
              <w:spacing w:beforeLines="20" w:line="360" w:lineRule="exact"/>
              <w:ind w:leftChars="118" w:left="944" w:hangingChars="236" w:hanging="661"/>
              <w:rPr>
                <w:rFonts w:ascii="Cambria" w:hAnsi="Cambria"/>
                <w:sz w:val="28"/>
                <w:szCs w:val="28"/>
                <w:u w:val="single"/>
              </w:rPr>
            </w:pPr>
            <w:r w:rsidRPr="00D84C19">
              <w:rPr>
                <w:rFonts w:hAnsi="標楷體"/>
                <w:sz w:val="28"/>
                <w:szCs w:val="28"/>
                <w:u w:val="single"/>
              </w:rPr>
              <w:t>（四）收益計算給付及其計算方式。</w:t>
            </w:r>
          </w:p>
          <w:p w:rsidR="001F76DC" w:rsidRDefault="00EA5EDA" w:rsidP="0044060A">
            <w:pPr>
              <w:pStyle w:val="ab"/>
              <w:kinsoku w:val="0"/>
              <w:snapToGrid w:val="0"/>
              <w:spacing w:beforeLines="20" w:line="360" w:lineRule="exact"/>
              <w:ind w:leftChars="118" w:left="944" w:hangingChars="236" w:hanging="661"/>
              <w:rPr>
                <w:rFonts w:ascii="Cambria" w:hAnsi="Cambria"/>
                <w:sz w:val="28"/>
                <w:szCs w:val="28"/>
                <w:u w:val="single"/>
              </w:rPr>
            </w:pPr>
            <w:r w:rsidRPr="00D84C19">
              <w:rPr>
                <w:rFonts w:hAnsi="標楷體"/>
                <w:sz w:val="28"/>
                <w:szCs w:val="28"/>
                <w:u w:val="single"/>
              </w:rPr>
              <w:t>（五）說明交易如有提前到期約定時之條件、結算應付款數額之金額或計算方式。</w:t>
            </w:r>
          </w:p>
          <w:p w:rsidR="001F76DC" w:rsidRDefault="00EA5EDA" w:rsidP="0044060A">
            <w:pPr>
              <w:pStyle w:val="ab"/>
              <w:tabs>
                <w:tab w:val="left" w:pos="476"/>
              </w:tabs>
              <w:kinsoku w:val="0"/>
              <w:snapToGrid w:val="0"/>
              <w:spacing w:beforeLines="20" w:line="360" w:lineRule="exact"/>
              <w:ind w:left="538" w:hangingChars="192" w:hanging="538"/>
              <w:rPr>
                <w:rFonts w:ascii="Cambria" w:hAnsi="Cambria"/>
                <w:sz w:val="28"/>
                <w:szCs w:val="28"/>
                <w:u w:val="single"/>
              </w:rPr>
            </w:pPr>
            <w:r w:rsidRPr="00D84C19">
              <w:rPr>
                <w:rFonts w:hAnsi="標楷體"/>
                <w:sz w:val="28"/>
                <w:szCs w:val="28"/>
                <w:u w:val="single"/>
              </w:rPr>
              <w:t>二、所須告知之交易相關風險至少應含本自律規範第二十六條第一款至第六款。</w:t>
            </w:r>
          </w:p>
          <w:p w:rsidR="001F76DC" w:rsidRDefault="00EA5EDA" w:rsidP="0044060A">
            <w:pPr>
              <w:pStyle w:val="ab"/>
              <w:kinsoku w:val="0"/>
              <w:snapToGrid w:val="0"/>
              <w:spacing w:beforeLines="20" w:line="360" w:lineRule="exact"/>
              <w:ind w:left="0"/>
              <w:rPr>
                <w:sz w:val="28"/>
                <w:szCs w:val="28"/>
                <w:u w:val="single"/>
              </w:rPr>
            </w:pPr>
            <w:r w:rsidRPr="009102D3">
              <w:rPr>
                <w:sz w:val="28"/>
                <w:szCs w:val="28"/>
              </w:rPr>
              <w:t xml:space="preserve">  </w:t>
            </w:r>
            <w:r w:rsidR="006C4755" w:rsidRPr="009102D3">
              <w:rPr>
                <w:rFonts w:hAnsi="標楷體"/>
                <w:sz w:val="28"/>
                <w:szCs w:val="28"/>
              </w:rPr>
              <w:t xml:space="preserve">　</w:t>
            </w:r>
            <w:r w:rsidR="006C4755" w:rsidRPr="00D84C19">
              <w:rPr>
                <w:rFonts w:hAnsi="標楷體"/>
                <w:sz w:val="28"/>
                <w:szCs w:val="28"/>
                <w:u w:val="single"/>
              </w:rPr>
              <w:t>第一項第</w:t>
            </w:r>
            <w:r w:rsidR="003F6D94">
              <w:rPr>
                <w:rFonts w:hAnsi="標楷體" w:hint="eastAsia"/>
                <w:sz w:val="28"/>
                <w:szCs w:val="28"/>
                <w:u w:val="single"/>
              </w:rPr>
              <w:t>四</w:t>
            </w:r>
            <w:r w:rsidRPr="00D84C19">
              <w:rPr>
                <w:rFonts w:hAnsi="標楷體"/>
                <w:sz w:val="28"/>
                <w:szCs w:val="28"/>
                <w:u w:val="single"/>
              </w:rPr>
              <w:t>款所稱以錄音或錄影方式保留紀錄，其保存期限應不得少於該商品存續期間加計三個月之期間，如未滿五年應至少保存五年以上。惟遇有爭議之交易時，應保留至爭議終結為止。</w:t>
            </w:r>
          </w:p>
        </w:tc>
        <w:tc>
          <w:tcPr>
            <w:tcW w:w="4671" w:type="dxa"/>
            <w:shd w:val="clear" w:color="auto" w:fill="auto"/>
          </w:tcPr>
          <w:p w:rsidR="002C3186" w:rsidRPr="00D84C19" w:rsidRDefault="002C3186" w:rsidP="00246D58">
            <w:pPr>
              <w:pStyle w:val="ab"/>
              <w:kinsoku w:val="0"/>
              <w:snapToGrid w:val="0"/>
              <w:spacing w:before="48" w:line="400" w:lineRule="exact"/>
              <w:ind w:left="560" w:hangingChars="200" w:hanging="560"/>
              <w:rPr>
                <w:color w:val="000000"/>
                <w:sz w:val="28"/>
                <w:szCs w:val="28"/>
              </w:rPr>
            </w:pPr>
          </w:p>
        </w:tc>
        <w:tc>
          <w:tcPr>
            <w:tcW w:w="4672" w:type="dxa"/>
            <w:shd w:val="clear" w:color="auto" w:fill="auto"/>
          </w:tcPr>
          <w:p w:rsidR="00E74246" w:rsidRPr="00D84C19" w:rsidRDefault="00B46463" w:rsidP="00DE62D1">
            <w:pPr>
              <w:numPr>
                <w:ilvl w:val="0"/>
                <w:numId w:val="13"/>
              </w:numPr>
              <w:spacing w:line="440" w:lineRule="exact"/>
              <w:ind w:left="567" w:hanging="567"/>
              <w:rPr>
                <w:rFonts w:eastAsia="標楷體"/>
                <w:color w:val="000000"/>
                <w:sz w:val="28"/>
                <w:szCs w:val="28"/>
              </w:rPr>
            </w:pPr>
            <w:r w:rsidRPr="00D84C19">
              <w:rPr>
                <w:rFonts w:eastAsia="標楷體" w:hAnsi="標楷體"/>
                <w:color w:val="000000"/>
                <w:sz w:val="28"/>
                <w:szCs w:val="28"/>
              </w:rPr>
              <w:t>本條新增</w:t>
            </w:r>
            <w:r w:rsidR="00DE62D1" w:rsidRPr="00D84C19">
              <w:rPr>
                <w:rFonts w:eastAsia="標楷體" w:hAnsi="標楷體"/>
                <w:color w:val="000000"/>
                <w:sz w:val="28"/>
                <w:szCs w:val="28"/>
              </w:rPr>
              <w:t>。</w:t>
            </w:r>
          </w:p>
          <w:p w:rsidR="00DE62D1" w:rsidRPr="00D84C19" w:rsidRDefault="00770B28" w:rsidP="00DE62D1">
            <w:pPr>
              <w:numPr>
                <w:ilvl w:val="0"/>
                <w:numId w:val="13"/>
              </w:numPr>
              <w:spacing w:line="440" w:lineRule="exact"/>
              <w:ind w:left="567" w:hanging="567"/>
              <w:rPr>
                <w:rFonts w:eastAsia="標楷體"/>
                <w:color w:val="000000"/>
                <w:sz w:val="28"/>
                <w:szCs w:val="28"/>
              </w:rPr>
            </w:pPr>
            <w:r>
              <w:rPr>
                <w:rFonts w:eastAsia="標楷體" w:hAnsi="標楷體" w:hint="eastAsia"/>
                <w:color w:val="000000"/>
                <w:sz w:val="28"/>
                <w:szCs w:val="28"/>
              </w:rPr>
              <w:t>銀行與專業機構投資人及高淨值投資法人以外之客戶辦理複雜性高風險商品業務，應在合理範圍內確認客戶具備相關交易經驗，爰</w:t>
            </w:r>
            <w:r w:rsidR="00985E6E" w:rsidRPr="00D84C19">
              <w:rPr>
                <w:rFonts w:eastAsia="標楷體" w:hAnsi="標楷體"/>
                <w:color w:val="000000"/>
                <w:sz w:val="28"/>
                <w:szCs w:val="28"/>
              </w:rPr>
              <w:t>修</w:t>
            </w:r>
            <w:r w:rsidR="001E7822">
              <w:rPr>
                <w:rFonts w:eastAsia="標楷體" w:hAnsi="標楷體" w:hint="eastAsia"/>
                <w:color w:val="000000"/>
                <w:sz w:val="28"/>
                <w:szCs w:val="28"/>
              </w:rPr>
              <w:t>正</w:t>
            </w:r>
            <w:r w:rsidR="00574F47" w:rsidRPr="00D84C19">
              <w:rPr>
                <w:rFonts w:eastAsia="標楷體" w:hAnsi="標楷體"/>
                <w:color w:val="000000"/>
                <w:sz w:val="28"/>
                <w:szCs w:val="28"/>
              </w:rPr>
              <w:t>第一項第一、二款</w:t>
            </w:r>
            <w:r>
              <w:rPr>
                <w:rFonts w:eastAsia="標楷體" w:hAnsi="標楷體" w:hint="eastAsia"/>
                <w:color w:val="000000"/>
                <w:sz w:val="28"/>
                <w:szCs w:val="28"/>
              </w:rPr>
              <w:t>，並定義客戶應符合之交易經驗條件</w:t>
            </w:r>
            <w:r w:rsidR="00574F47" w:rsidRPr="00D84C19">
              <w:rPr>
                <w:rFonts w:eastAsia="標楷體" w:hAnsi="標楷體"/>
                <w:color w:val="000000"/>
                <w:sz w:val="28"/>
                <w:szCs w:val="28"/>
              </w:rPr>
              <w:t>。</w:t>
            </w:r>
          </w:p>
          <w:p w:rsidR="00985E6E" w:rsidRPr="00D84C19" w:rsidRDefault="00574F47" w:rsidP="00985E6E">
            <w:pPr>
              <w:numPr>
                <w:ilvl w:val="0"/>
                <w:numId w:val="13"/>
              </w:numPr>
              <w:spacing w:line="440" w:lineRule="exact"/>
              <w:ind w:left="567" w:hanging="567"/>
              <w:rPr>
                <w:rFonts w:eastAsia="標楷體"/>
                <w:sz w:val="28"/>
                <w:szCs w:val="28"/>
              </w:rPr>
            </w:pPr>
            <w:r w:rsidRPr="00D84C19">
              <w:rPr>
                <w:rFonts w:eastAsia="標楷體" w:hAnsi="標楷體"/>
                <w:color w:val="000000"/>
                <w:sz w:val="28"/>
                <w:szCs w:val="28"/>
              </w:rPr>
              <w:t>依據金管會</w:t>
            </w:r>
            <w:r w:rsidRPr="00D84C19">
              <w:rPr>
                <w:rFonts w:eastAsia="標楷體"/>
                <w:color w:val="000000"/>
                <w:sz w:val="28"/>
                <w:szCs w:val="28"/>
              </w:rPr>
              <w:t>104</w:t>
            </w:r>
            <w:r w:rsidRPr="00D84C19">
              <w:rPr>
                <w:rFonts w:eastAsia="標楷體" w:hAnsi="標楷體"/>
                <w:color w:val="000000"/>
                <w:sz w:val="28"/>
                <w:szCs w:val="28"/>
              </w:rPr>
              <w:t>年</w:t>
            </w:r>
            <w:r w:rsidRPr="00D84C19">
              <w:rPr>
                <w:rFonts w:eastAsia="標楷體"/>
                <w:color w:val="000000"/>
                <w:sz w:val="28"/>
                <w:szCs w:val="28"/>
              </w:rPr>
              <w:t>11</w:t>
            </w:r>
            <w:r w:rsidRPr="00D84C19">
              <w:rPr>
                <w:rFonts w:eastAsia="標楷體" w:hAnsi="標楷體"/>
                <w:color w:val="000000"/>
                <w:sz w:val="28"/>
                <w:szCs w:val="28"/>
              </w:rPr>
              <w:t>月</w:t>
            </w:r>
            <w:r w:rsidRPr="00D84C19">
              <w:rPr>
                <w:rFonts w:eastAsia="標楷體"/>
                <w:color w:val="000000"/>
                <w:sz w:val="28"/>
                <w:szCs w:val="28"/>
              </w:rPr>
              <w:t>10</w:t>
            </w:r>
            <w:r w:rsidRPr="00D84C19">
              <w:rPr>
                <w:rFonts w:eastAsia="標楷體" w:hAnsi="標楷體"/>
                <w:color w:val="000000"/>
                <w:sz w:val="28"/>
                <w:szCs w:val="28"/>
              </w:rPr>
              <w:t>日金管銀外字第</w:t>
            </w:r>
            <w:r w:rsidRPr="00D84C19">
              <w:rPr>
                <w:rFonts w:eastAsia="標楷體"/>
                <w:color w:val="000000"/>
                <w:sz w:val="28"/>
                <w:szCs w:val="28"/>
              </w:rPr>
              <w:t>10450004030</w:t>
            </w:r>
            <w:r w:rsidRPr="00D84C19">
              <w:rPr>
                <w:rFonts w:eastAsia="標楷體" w:hAnsi="標楷體"/>
                <w:color w:val="000000"/>
                <w:sz w:val="28"/>
                <w:szCs w:val="28"/>
              </w:rPr>
              <w:t>號函</w:t>
            </w:r>
            <w:r w:rsidR="006D45CB">
              <w:rPr>
                <w:rFonts w:eastAsia="標楷體" w:hAnsi="標楷體" w:hint="eastAsia"/>
                <w:color w:val="000000"/>
                <w:sz w:val="28"/>
                <w:szCs w:val="28"/>
              </w:rPr>
              <w:t>指示</w:t>
            </w:r>
            <w:r w:rsidR="00914F29">
              <w:rPr>
                <w:rFonts w:eastAsia="標楷體" w:hAnsi="標楷體" w:hint="eastAsia"/>
                <w:color w:val="000000"/>
                <w:sz w:val="28"/>
                <w:szCs w:val="28"/>
              </w:rPr>
              <w:t>，</w:t>
            </w:r>
            <w:r w:rsidR="00985E6E" w:rsidRPr="00D84C19">
              <w:rPr>
                <w:rFonts w:eastAsia="標楷體" w:hAnsi="標楷體"/>
                <w:color w:val="000000"/>
                <w:sz w:val="28"/>
                <w:szCs w:val="28"/>
              </w:rPr>
              <w:t>訂立風險管理實務作法。</w:t>
            </w:r>
            <w:r w:rsidR="00914F29">
              <w:rPr>
                <w:rFonts w:eastAsia="標楷體" w:hAnsi="標楷體" w:hint="eastAsia"/>
                <w:color w:val="000000"/>
                <w:sz w:val="28"/>
                <w:szCs w:val="28"/>
              </w:rPr>
              <w:t>為</w:t>
            </w:r>
            <w:r w:rsidR="00985E6E" w:rsidRPr="00D84C19">
              <w:rPr>
                <w:rFonts w:eastAsia="標楷體" w:hAnsi="標楷體"/>
                <w:color w:val="000000"/>
                <w:sz w:val="28"/>
                <w:szCs w:val="28"/>
              </w:rPr>
              <w:t>避免客戶承作複雜性高風險商品之暴險過於集中，</w:t>
            </w:r>
            <w:r w:rsidR="00A14C1E" w:rsidRPr="00FF5FA8">
              <w:rPr>
                <w:rFonts w:eastAsia="標楷體" w:hAnsi="標楷體" w:hint="eastAsia"/>
                <w:color w:val="000000" w:themeColor="text1"/>
                <w:sz w:val="28"/>
                <w:szCs w:val="28"/>
              </w:rPr>
              <w:t>應</w:t>
            </w:r>
            <w:r w:rsidR="00914F29">
              <w:rPr>
                <w:rFonts w:eastAsia="標楷體" w:hAnsi="標楷體" w:hint="eastAsia"/>
                <w:color w:val="000000"/>
                <w:sz w:val="28"/>
                <w:szCs w:val="28"/>
              </w:rPr>
              <w:t>於</w:t>
            </w:r>
            <w:r w:rsidR="00985E6E" w:rsidRPr="00D84C19">
              <w:rPr>
                <w:rFonts w:eastAsia="標楷體" w:hAnsi="標楷體"/>
                <w:color w:val="000000"/>
                <w:sz w:val="28"/>
                <w:szCs w:val="28"/>
              </w:rPr>
              <w:t>分子</w:t>
            </w:r>
            <w:r w:rsidR="0013765C">
              <w:rPr>
                <w:rFonts w:eastAsia="標楷體" w:hAnsi="標楷體" w:hint="eastAsia"/>
                <w:color w:val="000000"/>
                <w:sz w:val="28"/>
                <w:szCs w:val="28"/>
              </w:rPr>
              <w:t>加計</w:t>
            </w:r>
            <w:r w:rsidR="00985E6E" w:rsidRPr="00D84C19">
              <w:rPr>
                <w:rFonts w:eastAsia="標楷體" w:hAnsi="標楷體"/>
                <w:color w:val="000000"/>
                <w:sz w:val="28"/>
                <w:szCs w:val="28"/>
              </w:rPr>
              <w:t>複雜性高風險商品之市價評估值</w:t>
            </w:r>
            <w:r w:rsidR="00914F29">
              <w:rPr>
                <w:rFonts w:eastAsia="標楷體" w:hAnsi="標楷體" w:hint="eastAsia"/>
                <w:color w:val="000000"/>
                <w:sz w:val="28"/>
                <w:szCs w:val="28"/>
              </w:rPr>
              <w:t>(MTM)</w:t>
            </w:r>
            <w:r w:rsidR="00985E6E" w:rsidRPr="00D84C19">
              <w:rPr>
                <w:rFonts w:eastAsia="標楷體" w:hAnsi="標楷體"/>
                <w:color w:val="000000"/>
                <w:sz w:val="28"/>
                <w:szCs w:val="28"/>
              </w:rPr>
              <w:t>。另考量分子加計市價評估</w:t>
            </w:r>
            <w:r w:rsidR="00914F29">
              <w:rPr>
                <w:rFonts w:eastAsia="標楷體" w:hAnsi="標楷體" w:hint="eastAsia"/>
                <w:color w:val="000000"/>
                <w:sz w:val="28"/>
                <w:szCs w:val="28"/>
              </w:rPr>
              <w:t>值後</w:t>
            </w:r>
            <w:r w:rsidR="00985E6E" w:rsidRPr="00D84C19">
              <w:rPr>
                <w:rFonts w:eastAsia="標楷體" w:hAnsi="標楷體"/>
                <w:color w:val="000000"/>
                <w:sz w:val="28"/>
                <w:szCs w:val="28"/>
              </w:rPr>
              <w:t>，其</w:t>
            </w:r>
            <w:r w:rsidR="00914F29">
              <w:rPr>
                <w:rFonts w:eastAsia="標楷體" w:hAnsi="標楷體" w:hint="eastAsia"/>
                <w:color w:val="000000"/>
                <w:sz w:val="28"/>
                <w:szCs w:val="28"/>
              </w:rPr>
              <w:t>總</w:t>
            </w:r>
            <w:r w:rsidR="00985E6E" w:rsidRPr="00D84C19">
              <w:rPr>
                <w:rFonts w:eastAsia="標楷體" w:hAnsi="標楷體"/>
                <w:color w:val="000000"/>
                <w:sz w:val="28"/>
                <w:szCs w:val="28"/>
              </w:rPr>
              <w:t>數額可能</w:t>
            </w:r>
            <w:r w:rsidR="00985E6E" w:rsidRPr="00D84C19">
              <w:rPr>
                <w:rFonts w:eastAsia="標楷體" w:hAnsi="標楷體"/>
                <w:sz w:val="28"/>
                <w:szCs w:val="28"/>
              </w:rPr>
              <w:t>因市價波動而</w:t>
            </w:r>
            <w:r w:rsidR="0013765C">
              <w:rPr>
                <w:rFonts w:eastAsia="標楷體" w:hAnsi="標楷體" w:hint="eastAsia"/>
                <w:sz w:val="28"/>
                <w:szCs w:val="28"/>
              </w:rPr>
              <w:t>致</w:t>
            </w:r>
            <w:r w:rsidR="00985E6E" w:rsidRPr="00D84C19">
              <w:rPr>
                <w:rFonts w:eastAsia="標楷體" w:hAnsi="標楷體"/>
                <w:sz w:val="28"/>
                <w:szCs w:val="28"/>
              </w:rPr>
              <w:t>集中度逾限，</w:t>
            </w:r>
            <w:r w:rsidR="0013765C">
              <w:rPr>
                <w:rFonts w:eastAsia="標楷體" w:hAnsi="標楷體" w:hint="eastAsia"/>
                <w:sz w:val="28"/>
                <w:szCs w:val="28"/>
              </w:rPr>
              <w:t>爰</w:t>
            </w:r>
            <w:r w:rsidR="00985E6E" w:rsidRPr="00D84C19">
              <w:rPr>
                <w:rFonts w:eastAsia="標楷體" w:hAnsi="標楷體"/>
                <w:sz w:val="28"/>
                <w:szCs w:val="28"/>
              </w:rPr>
              <w:t>增訂</w:t>
            </w:r>
            <w:r w:rsidR="00985E6E" w:rsidRPr="00D84C19">
              <w:rPr>
                <w:rFonts w:eastAsia="標楷體" w:hAnsi="標楷體"/>
                <w:sz w:val="28"/>
                <w:szCs w:val="28"/>
              </w:rPr>
              <w:lastRenderedPageBreak/>
              <w:t>銀行之內部作業程序亦須涵蓋逾限控管機制以</w:t>
            </w:r>
            <w:r w:rsidR="0013765C" w:rsidRPr="00D84C19">
              <w:rPr>
                <w:rFonts w:eastAsia="標楷體" w:hAnsi="標楷體"/>
                <w:sz w:val="28"/>
                <w:szCs w:val="28"/>
              </w:rPr>
              <w:t>控管</w:t>
            </w:r>
            <w:r w:rsidR="00985E6E" w:rsidRPr="00D84C19">
              <w:rPr>
                <w:rFonts w:eastAsia="標楷體" w:hAnsi="標楷體"/>
                <w:sz w:val="28"/>
                <w:szCs w:val="28"/>
              </w:rPr>
              <w:t>因市價波動而逾限之</w:t>
            </w:r>
            <w:r w:rsidR="0013765C">
              <w:rPr>
                <w:rFonts w:eastAsia="標楷體" w:hAnsi="標楷體" w:hint="eastAsia"/>
                <w:sz w:val="28"/>
                <w:szCs w:val="28"/>
              </w:rPr>
              <w:t>情形</w:t>
            </w:r>
            <w:r w:rsidR="00985E6E" w:rsidRPr="00D84C19">
              <w:rPr>
                <w:rFonts w:eastAsia="標楷體" w:hAnsi="標楷體"/>
                <w:sz w:val="28"/>
                <w:szCs w:val="28"/>
              </w:rPr>
              <w:t>，</w:t>
            </w:r>
            <w:r w:rsidR="00484A52" w:rsidRPr="00D84C19">
              <w:rPr>
                <w:rFonts w:eastAsia="標楷體" w:hAnsi="標楷體"/>
                <w:sz w:val="28"/>
                <w:szCs w:val="28"/>
              </w:rPr>
              <w:t>包含但不限於停止承作新交易、監控、報告等措施</w:t>
            </w:r>
            <w:r w:rsidR="00985E6E" w:rsidRPr="00D84C19">
              <w:rPr>
                <w:rFonts w:eastAsia="標楷體" w:hAnsi="標楷體"/>
                <w:sz w:val="28"/>
                <w:szCs w:val="28"/>
              </w:rPr>
              <w:t>。</w:t>
            </w:r>
          </w:p>
          <w:p w:rsidR="00985E6E" w:rsidRPr="00D84C19" w:rsidRDefault="000B63F1" w:rsidP="006C4755">
            <w:pPr>
              <w:numPr>
                <w:ilvl w:val="0"/>
                <w:numId w:val="13"/>
              </w:numPr>
              <w:spacing w:line="440" w:lineRule="exact"/>
              <w:ind w:left="567" w:hanging="567"/>
              <w:rPr>
                <w:rFonts w:eastAsia="標楷體"/>
                <w:color w:val="000000"/>
                <w:sz w:val="28"/>
                <w:szCs w:val="28"/>
              </w:rPr>
            </w:pPr>
            <w:r w:rsidRPr="00D84C19">
              <w:rPr>
                <w:rFonts w:eastAsia="標楷體" w:hAnsi="標楷體"/>
                <w:color w:val="000000"/>
                <w:sz w:val="28"/>
                <w:szCs w:val="28"/>
              </w:rPr>
              <w:t>提供客戶</w:t>
            </w:r>
            <w:r w:rsidR="00FD1FDB">
              <w:rPr>
                <w:rFonts w:eastAsia="標楷體" w:hAnsi="標楷體" w:hint="eastAsia"/>
                <w:color w:val="000000"/>
                <w:sz w:val="28"/>
                <w:szCs w:val="28"/>
              </w:rPr>
              <w:t>之</w:t>
            </w:r>
            <w:r w:rsidRPr="00D84C19">
              <w:rPr>
                <w:rFonts w:eastAsia="標楷體" w:hAnsi="標楷體"/>
                <w:color w:val="000000"/>
                <w:sz w:val="28"/>
                <w:szCs w:val="28"/>
              </w:rPr>
              <w:t>交易</w:t>
            </w:r>
            <w:r w:rsidR="00E0358E">
              <w:rPr>
                <w:rFonts w:eastAsia="標楷體" w:hAnsi="標楷體" w:hint="eastAsia"/>
                <w:color w:val="000000"/>
                <w:sz w:val="28"/>
                <w:szCs w:val="28"/>
              </w:rPr>
              <w:t>文件應有最大損失金額及提前終止交易之應支付金額計</w:t>
            </w:r>
            <w:r w:rsidR="00D033EA">
              <w:rPr>
                <w:rFonts w:eastAsia="標楷體" w:hAnsi="標楷體" w:hint="eastAsia"/>
                <w:color w:val="000000"/>
                <w:sz w:val="28"/>
                <w:szCs w:val="28"/>
              </w:rPr>
              <w:t>算</w:t>
            </w:r>
            <w:r w:rsidR="00E0358E">
              <w:rPr>
                <w:rFonts w:eastAsia="標楷體" w:hAnsi="標楷體" w:hint="eastAsia"/>
                <w:color w:val="000000"/>
                <w:sz w:val="28"/>
                <w:szCs w:val="28"/>
              </w:rPr>
              <w:t>方式等交易條件</w:t>
            </w:r>
            <w:r w:rsidR="00D033EA">
              <w:rPr>
                <w:rFonts w:eastAsia="標楷體" w:hAnsi="標楷體" w:hint="eastAsia"/>
                <w:color w:val="000000"/>
                <w:sz w:val="28"/>
                <w:szCs w:val="28"/>
              </w:rPr>
              <w:t>等資料</w:t>
            </w:r>
            <w:r w:rsidR="00E0358E">
              <w:rPr>
                <w:rFonts w:eastAsia="標楷體" w:hAnsi="標楷體" w:hint="eastAsia"/>
                <w:color w:val="000000"/>
                <w:sz w:val="28"/>
                <w:szCs w:val="28"/>
              </w:rPr>
              <w:t>，</w:t>
            </w:r>
            <w:r w:rsidR="00D033EA">
              <w:rPr>
                <w:rFonts w:eastAsia="標楷體" w:hAnsi="標楷體" w:hint="eastAsia"/>
                <w:color w:val="000000"/>
                <w:sz w:val="28"/>
                <w:szCs w:val="28"/>
              </w:rPr>
              <w:t>以</w:t>
            </w:r>
            <w:r w:rsidRPr="00D84C19">
              <w:rPr>
                <w:rFonts w:eastAsia="標楷體" w:hAnsi="標楷體"/>
                <w:color w:val="000000"/>
                <w:sz w:val="28"/>
                <w:szCs w:val="28"/>
              </w:rPr>
              <w:t>顯著標示</w:t>
            </w:r>
            <w:r w:rsidR="00D033EA">
              <w:rPr>
                <w:rFonts w:eastAsia="標楷體" w:hAnsi="標楷體" w:hint="eastAsia"/>
                <w:color w:val="000000"/>
                <w:sz w:val="28"/>
                <w:szCs w:val="28"/>
              </w:rPr>
              <w:t>，</w:t>
            </w:r>
            <w:r w:rsidR="006C4755" w:rsidRPr="00D84C19">
              <w:rPr>
                <w:rFonts w:eastAsia="標楷體" w:hAnsi="標楷體"/>
                <w:color w:val="000000"/>
                <w:sz w:val="28"/>
                <w:szCs w:val="28"/>
              </w:rPr>
              <w:t>並經客戶簽名</w:t>
            </w:r>
            <w:r w:rsidR="00D033EA">
              <w:rPr>
                <w:rFonts w:eastAsia="標楷體" w:hAnsi="標楷體" w:hint="eastAsia"/>
                <w:color w:val="000000"/>
                <w:sz w:val="28"/>
                <w:szCs w:val="28"/>
              </w:rPr>
              <w:t>或蓋用原留印鑑確認，銀行並應提供客戶交易糾紛申訴管道</w:t>
            </w:r>
            <w:r w:rsidR="001F690B" w:rsidRPr="00D84C19">
              <w:rPr>
                <w:rFonts w:eastAsia="標楷體" w:hAnsi="標楷體"/>
                <w:color w:val="000000"/>
                <w:sz w:val="28"/>
                <w:szCs w:val="28"/>
              </w:rPr>
              <w:t>。</w:t>
            </w:r>
          </w:p>
          <w:p w:rsidR="001F690B" w:rsidRPr="00D84C19" w:rsidRDefault="001F690B" w:rsidP="00791B99">
            <w:pPr>
              <w:numPr>
                <w:ilvl w:val="0"/>
                <w:numId w:val="13"/>
              </w:numPr>
              <w:spacing w:line="440" w:lineRule="exact"/>
              <w:ind w:left="567" w:hanging="567"/>
              <w:rPr>
                <w:rFonts w:eastAsia="標楷體"/>
                <w:color w:val="000000"/>
                <w:sz w:val="28"/>
                <w:szCs w:val="28"/>
              </w:rPr>
            </w:pPr>
            <w:r w:rsidRPr="00D84C19">
              <w:rPr>
                <w:rFonts w:eastAsia="標楷體" w:hAnsi="標楷體"/>
                <w:color w:val="000000"/>
                <w:sz w:val="28"/>
                <w:szCs w:val="28"/>
              </w:rPr>
              <w:t>原第二十五條第</w:t>
            </w:r>
            <w:r w:rsidR="00791B99" w:rsidRPr="00D84C19">
              <w:rPr>
                <w:rFonts w:eastAsia="標楷體" w:hAnsi="標楷體"/>
                <w:color w:val="000000"/>
                <w:sz w:val="28"/>
                <w:szCs w:val="28"/>
              </w:rPr>
              <w:t>四、五</w:t>
            </w:r>
            <w:r w:rsidR="00DC4D99" w:rsidRPr="00D84C19">
              <w:rPr>
                <w:rFonts w:eastAsia="標楷體" w:hAnsi="標楷體"/>
                <w:color w:val="000000"/>
                <w:sz w:val="28"/>
                <w:szCs w:val="28"/>
              </w:rPr>
              <w:t>項移至二十五條之一第二、三項。</w:t>
            </w:r>
          </w:p>
        </w:tc>
      </w:tr>
      <w:tr w:rsidR="005E228C" w:rsidRPr="00D84C19" w:rsidTr="00FF5FA8">
        <w:trPr>
          <w:trHeight w:val="966"/>
        </w:trPr>
        <w:tc>
          <w:tcPr>
            <w:tcW w:w="4671" w:type="dxa"/>
            <w:shd w:val="clear" w:color="auto" w:fill="auto"/>
          </w:tcPr>
          <w:p w:rsidR="00EA5EDA" w:rsidRPr="00D84C19" w:rsidRDefault="00EA5EDA" w:rsidP="0044060A">
            <w:pPr>
              <w:pStyle w:val="ab"/>
              <w:kinsoku w:val="0"/>
              <w:snapToGrid w:val="0"/>
              <w:spacing w:beforeLines="20" w:line="360" w:lineRule="exact"/>
              <w:ind w:leftChars="-15" w:left="-36"/>
              <w:rPr>
                <w:sz w:val="28"/>
                <w:szCs w:val="28"/>
              </w:rPr>
            </w:pPr>
            <w:r w:rsidRPr="00D84C19">
              <w:rPr>
                <w:rFonts w:hAnsi="標楷體"/>
                <w:sz w:val="28"/>
                <w:szCs w:val="28"/>
              </w:rPr>
              <w:lastRenderedPageBreak/>
              <w:t>第二十六條</w:t>
            </w:r>
          </w:p>
          <w:p w:rsidR="00542EEE" w:rsidRDefault="00EA5EDA" w:rsidP="0044060A">
            <w:pPr>
              <w:pStyle w:val="ab"/>
              <w:kinsoku w:val="0"/>
              <w:snapToGrid w:val="0"/>
              <w:spacing w:beforeLines="20" w:line="360" w:lineRule="exact"/>
              <w:ind w:left="-52"/>
              <w:rPr>
                <w:rFonts w:ascii="Cambria" w:hAnsi="Cambria"/>
                <w:sz w:val="28"/>
                <w:szCs w:val="28"/>
              </w:rPr>
            </w:pPr>
            <w:r w:rsidRPr="00D84C19">
              <w:rPr>
                <w:sz w:val="28"/>
                <w:szCs w:val="28"/>
              </w:rPr>
              <w:t xml:space="preserve">    </w:t>
            </w:r>
            <w:r w:rsidRPr="00D84C19">
              <w:rPr>
                <w:rFonts w:hAnsi="標楷體"/>
                <w:sz w:val="28"/>
                <w:szCs w:val="28"/>
              </w:rPr>
              <w:t>銀行向專業機構投資人</w:t>
            </w:r>
            <w:r w:rsidRPr="00801EBB">
              <w:rPr>
                <w:rFonts w:hAnsi="標楷體"/>
                <w:b/>
                <w:sz w:val="28"/>
                <w:szCs w:val="28"/>
                <w:u w:val="single"/>
              </w:rPr>
              <w:t>及高淨值投資法人以外</w:t>
            </w:r>
            <w:r w:rsidRPr="00D84C19">
              <w:rPr>
                <w:rFonts w:hAnsi="標楷體"/>
                <w:sz w:val="28"/>
                <w:szCs w:val="28"/>
              </w:rPr>
              <w:t>之專業客戶及一般客戶提供非屬結構型商品之衍生性金融商品交易服務，銀行就商品風險之告知及揭露至少應包含下列事項，並應妥善保存紀錄證明已告知客戶相關風險：</w:t>
            </w:r>
          </w:p>
          <w:p w:rsidR="00542EEE" w:rsidRDefault="00EA5EDA" w:rsidP="0044060A">
            <w:pPr>
              <w:pStyle w:val="ab"/>
              <w:tabs>
                <w:tab w:val="left" w:pos="508"/>
              </w:tabs>
              <w:kinsoku w:val="0"/>
              <w:snapToGrid w:val="0"/>
              <w:spacing w:beforeLines="20" w:line="360" w:lineRule="exact"/>
              <w:ind w:leftChars="-19" w:left="601" w:hangingChars="231" w:hanging="647"/>
              <w:rPr>
                <w:rFonts w:ascii="Cambria" w:hAnsi="Cambria"/>
                <w:sz w:val="28"/>
                <w:szCs w:val="28"/>
              </w:rPr>
            </w:pPr>
            <w:r w:rsidRPr="00D84C19">
              <w:rPr>
                <w:rFonts w:hAnsi="標楷體"/>
                <w:sz w:val="28"/>
                <w:szCs w:val="28"/>
              </w:rPr>
              <w:lastRenderedPageBreak/>
              <w:t>一、</w:t>
            </w:r>
            <w:r w:rsidRPr="00D84C19">
              <w:rPr>
                <w:sz w:val="28"/>
                <w:szCs w:val="28"/>
              </w:rPr>
              <w:tab/>
            </w:r>
            <w:r w:rsidRPr="00D84C19">
              <w:rPr>
                <w:rFonts w:hAnsi="標楷體"/>
                <w:sz w:val="28"/>
                <w:szCs w:val="28"/>
              </w:rPr>
              <w:t>衍生性金融商品如屬非以避險為目的者，其最大可能損失金額。如為具有乘數條款之組合式交易，當市場價格不利於客戶交易時，交易損失將因具有乘數效果而擴大。</w:t>
            </w:r>
          </w:p>
          <w:p w:rsidR="001F76DC" w:rsidRDefault="00EA5EDA" w:rsidP="0044060A">
            <w:pPr>
              <w:pStyle w:val="ab"/>
              <w:tabs>
                <w:tab w:val="left" w:pos="508"/>
              </w:tabs>
              <w:kinsoku w:val="0"/>
              <w:snapToGrid w:val="0"/>
              <w:spacing w:beforeLines="20" w:line="360" w:lineRule="exact"/>
              <w:ind w:leftChars="-19" w:left="601" w:hangingChars="231" w:hanging="647"/>
              <w:rPr>
                <w:rFonts w:ascii="Cambria" w:hAnsi="Cambria"/>
                <w:sz w:val="28"/>
                <w:szCs w:val="28"/>
              </w:rPr>
            </w:pPr>
            <w:r w:rsidRPr="00D84C19">
              <w:rPr>
                <w:rFonts w:hAnsi="標楷體"/>
                <w:sz w:val="28"/>
                <w:szCs w:val="28"/>
              </w:rPr>
              <w:t>二、衍生性金融商品之市價評估</w:t>
            </w:r>
            <w:r w:rsidRPr="00D84C19">
              <w:rPr>
                <w:sz w:val="28"/>
                <w:szCs w:val="28"/>
              </w:rPr>
              <w:t>(mark-to-market)</w:t>
            </w:r>
            <w:r w:rsidRPr="00D84C19">
              <w:rPr>
                <w:rFonts w:hAnsi="標楷體"/>
                <w:sz w:val="28"/>
                <w:szCs w:val="28"/>
              </w:rPr>
              <w:t>損益係受連結標的市場價格等因素影響而變動。當市場價格不利於客戶之交易時，該交易市價評估損失，有可能遠大於預期。</w:t>
            </w:r>
          </w:p>
          <w:p w:rsidR="001F76DC" w:rsidRDefault="00EA5EDA" w:rsidP="0044060A">
            <w:pPr>
              <w:pStyle w:val="ab"/>
              <w:tabs>
                <w:tab w:val="left" w:pos="508"/>
              </w:tabs>
              <w:kinsoku w:val="0"/>
              <w:snapToGrid w:val="0"/>
              <w:spacing w:beforeLines="20" w:line="360" w:lineRule="exact"/>
              <w:ind w:leftChars="-19" w:left="601" w:hangingChars="231" w:hanging="647"/>
              <w:rPr>
                <w:rFonts w:ascii="Cambria" w:hAnsi="Cambria"/>
                <w:sz w:val="28"/>
                <w:szCs w:val="28"/>
              </w:rPr>
            </w:pPr>
            <w:r w:rsidRPr="00D84C19">
              <w:rPr>
                <w:rFonts w:hAnsi="標楷體"/>
                <w:sz w:val="28"/>
                <w:szCs w:val="28"/>
              </w:rPr>
              <w:t>三、</w:t>
            </w:r>
            <w:r w:rsidRPr="00D84C19">
              <w:rPr>
                <w:sz w:val="28"/>
                <w:szCs w:val="28"/>
              </w:rPr>
              <w:tab/>
            </w:r>
            <w:r w:rsidRPr="00D84C19">
              <w:rPr>
                <w:rFonts w:hAnsi="標楷體"/>
                <w:sz w:val="28"/>
                <w:szCs w:val="28"/>
              </w:rPr>
              <w:t>客戶於契約到期前提前終止交易，如市場價格不利於客戶交易時，客戶有可能承受鉅額交易損失。</w:t>
            </w:r>
          </w:p>
          <w:p w:rsidR="001F76DC" w:rsidRDefault="00EA5EDA" w:rsidP="0044060A">
            <w:pPr>
              <w:pStyle w:val="ab"/>
              <w:tabs>
                <w:tab w:val="left" w:pos="508"/>
              </w:tabs>
              <w:kinsoku w:val="0"/>
              <w:snapToGrid w:val="0"/>
              <w:spacing w:beforeLines="20" w:line="360" w:lineRule="exact"/>
              <w:ind w:leftChars="-19" w:left="601" w:hangingChars="231" w:hanging="647"/>
              <w:rPr>
                <w:rFonts w:ascii="Cambria" w:hAnsi="Cambria"/>
                <w:sz w:val="28"/>
                <w:szCs w:val="28"/>
              </w:rPr>
            </w:pPr>
            <w:r w:rsidRPr="00D84C19">
              <w:rPr>
                <w:rFonts w:hAnsi="標楷體"/>
                <w:sz w:val="28"/>
                <w:szCs w:val="28"/>
              </w:rPr>
              <w:t>四、</w:t>
            </w:r>
            <w:r w:rsidRPr="00D84C19">
              <w:rPr>
                <w:sz w:val="28"/>
                <w:szCs w:val="28"/>
              </w:rPr>
              <w:tab/>
            </w:r>
            <w:r w:rsidRPr="00D84C19">
              <w:rPr>
                <w:rFonts w:hAnsi="標楷體"/>
                <w:sz w:val="28"/>
                <w:szCs w:val="28"/>
              </w:rPr>
              <w:t>天期較長之衍生性金融商品將承受較高之風險。於市場價格不利於客戶交易時，客戶將承受較高之提前終止交易損失。</w:t>
            </w:r>
          </w:p>
          <w:p w:rsidR="001F76DC" w:rsidRDefault="00EA5EDA" w:rsidP="0044060A">
            <w:pPr>
              <w:pStyle w:val="ab"/>
              <w:tabs>
                <w:tab w:val="left" w:pos="508"/>
              </w:tabs>
              <w:kinsoku w:val="0"/>
              <w:snapToGrid w:val="0"/>
              <w:spacing w:beforeLines="20" w:line="360" w:lineRule="exact"/>
              <w:ind w:leftChars="-19" w:left="601" w:hangingChars="231" w:hanging="647"/>
              <w:rPr>
                <w:rFonts w:ascii="Cambria" w:hAnsi="Cambria"/>
                <w:sz w:val="28"/>
                <w:szCs w:val="28"/>
              </w:rPr>
            </w:pPr>
            <w:r w:rsidRPr="00D84C19">
              <w:rPr>
                <w:rFonts w:hAnsi="標楷體"/>
                <w:sz w:val="28"/>
                <w:szCs w:val="28"/>
              </w:rPr>
              <w:t>五、</w:t>
            </w:r>
            <w:r w:rsidRPr="00D84C19">
              <w:rPr>
                <w:sz w:val="28"/>
                <w:szCs w:val="28"/>
              </w:rPr>
              <w:tab/>
            </w:r>
            <w:r w:rsidRPr="00D84C19">
              <w:rPr>
                <w:rFonts w:hAnsi="標楷體"/>
                <w:sz w:val="28"/>
                <w:szCs w:val="28"/>
              </w:rPr>
              <w:t>客戶如負有依市價評估結果計算應提供擔保品義務，當市場價格不利於客戶交易，致產生市價評估損失時，客戶應履行提供擔保品之義務。客戶應提供擔保品數額遠大於預期時，可能產生資金調度之流動性風險。如客戶未</w:t>
            </w:r>
            <w:r w:rsidRPr="00D84C19">
              <w:rPr>
                <w:rFonts w:hAnsi="標楷體"/>
                <w:sz w:val="28"/>
                <w:szCs w:val="28"/>
              </w:rPr>
              <w:lastRenderedPageBreak/>
              <w:t>能履行提供擔保品義務，致銀行提前終止交易，客戶將可能承受鉅額損失。</w:t>
            </w:r>
          </w:p>
          <w:p w:rsidR="005D4C76" w:rsidRPr="00D84C19" w:rsidRDefault="00EA5EDA" w:rsidP="00356704">
            <w:pPr>
              <w:pStyle w:val="ab"/>
              <w:kinsoku w:val="0"/>
              <w:snapToGrid w:val="0"/>
              <w:spacing w:before="48" w:line="400" w:lineRule="exact"/>
              <w:ind w:left="566" w:hangingChars="202" w:hanging="566"/>
              <w:rPr>
                <w:b/>
                <w:sz w:val="28"/>
                <w:szCs w:val="28"/>
                <w:u w:val="single"/>
              </w:rPr>
            </w:pPr>
            <w:r w:rsidRPr="00D84C19">
              <w:rPr>
                <w:rFonts w:hAnsi="標楷體"/>
                <w:sz w:val="28"/>
                <w:szCs w:val="28"/>
              </w:rPr>
              <w:t>六、以避險目的承作之衍生性金融商品，如契約金額大於實質需求，超額部分將承受無實質部位覆蓋之風險。</w:t>
            </w:r>
          </w:p>
        </w:tc>
        <w:tc>
          <w:tcPr>
            <w:tcW w:w="4671" w:type="dxa"/>
            <w:shd w:val="clear" w:color="auto" w:fill="auto"/>
          </w:tcPr>
          <w:p w:rsidR="00563C8F" w:rsidRPr="00D84C19" w:rsidRDefault="00563C8F" w:rsidP="0044060A">
            <w:pPr>
              <w:pStyle w:val="ab"/>
              <w:kinsoku w:val="0"/>
              <w:snapToGrid w:val="0"/>
              <w:spacing w:beforeLines="20" w:line="360" w:lineRule="exact"/>
              <w:ind w:leftChars="-15" w:left="-36"/>
              <w:rPr>
                <w:sz w:val="28"/>
                <w:szCs w:val="28"/>
              </w:rPr>
            </w:pPr>
            <w:r w:rsidRPr="00D84C19">
              <w:rPr>
                <w:rFonts w:hAnsi="標楷體"/>
                <w:sz w:val="28"/>
                <w:szCs w:val="28"/>
              </w:rPr>
              <w:lastRenderedPageBreak/>
              <w:t>第二十六條</w:t>
            </w:r>
          </w:p>
          <w:p w:rsidR="00542EEE" w:rsidRDefault="00563C8F" w:rsidP="0044060A">
            <w:pPr>
              <w:pStyle w:val="ab"/>
              <w:kinsoku w:val="0"/>
              <w:snapToGrid w:val="0"/>
              <w:spacing w:beforeLines="20" w:line="360" w:lineRule="exact"/>
              <w:ind w:left="-52"/>
              <w:rPr>
                <w:rFonts w:ascii="Cambria" w:hAnsi="Cambria"/>
                <w:sz w:val="28"/>
                <w:szCs w:val="28"/>
              </w:rPr>
            </w:pPr>
            <w:r w:rsidRPr="00D84C19">
              <w:rPr>
                <w:sz w:val="28"/>
                <w:szCs w:val="28"/>
              </w:rPr>
              <w:t xml:space="preserve">    </w:t>
            </w:r>
            <w:r w:rsidRPr="00D84C19">
              <w:rPr>
                <w:rFonts w:hAnsi="標楷體"/>
                <w:sz w:val="28"/>
                <w:szCs w:val="28"/>
              </w:rPr>
              <w:t>銀行向</w:t>
            </w:r>
            <w:r w:rsidRPr="00132ADD">
              <w:rPr>
                <w:rFonts w:hAnsi="標楷體"/>
                <w:sz w:val="28"/>
                <w:szCs w:val="28"/>
              </w:rPr>
              <w:t>非屬</w:t>
            </w:r>
            <w:r w:rsidRPr="00D84C19">
              <w:rPr>
                <w:rFonts w:hAnsi="標楷體"/>
                <w:sz w:val="28"/>
                <w:szCs w:val="28"/>
              </w:rPr>
              <w:t>專業機構投資人之專業客戶及一般客戶提供非屬結構型商品之衍生性金融商品交易服務，銀行就商品風險之告知及揭露至少應包含下列事項，並應妥善保存紀錄證明已告知客戶相關風險：</w:t>
            </w:r>
          </w:p>
          <w:p w:rsidR="00FE7230" w:rsidRDefault="00FE7230" w:rsidP="0044060A">
            <w:pPr>
              <w:pStyle w:val="ab"/>
              <w:tabs>
                <w:tab w:val="left" w:pos="508"/>
              </w:tabs>
              <w:kinsoku w:val="0"/>
              <w:snapToGrid w:val="0"/>
              <w:spacing w:beforeLines="20" w:line="360" w:lineRule="exact"/>
              <w:ind w:leftChars="-19" w:left="601" w:hangingChars="231" w:hanging="647"/>
              <w:rPr>
                <w:rFonts w:hAnsi="標楷體"/>
                <w:sz w:val="28"/>
                <w:szCs w:val="28"/>
              </w:rPr>
            </w:pPr>
          </w:p>
          <w:p w:rsidR="00542EEE" w:rsidRDefault="00563C8F" w:rsidP="0044060A">
            <w:pPr>
              <w:pStyle w:val="ab"/>
              <w:tabs>
                <w:tab w:val="left" w:pos="508"/>
              </w:tabs>
              <w:kinsoku w:val="0"/>
              <w:snapToGrid w:val="0"/>
              <w:spacing w:beforeLines="20" w:line="360" w:lineRule="exact"/>
              <w:ind w:leftChars="-19" w:left="601" w:hangingChars="231" w:hanging="647"/>
              <w:rPr>
                <w:rFonts w:ascii="Cambria" w:hAnsi="Cambria"/>
                <w:sz w:val="28"/>
                <w:szCs w:val="28"/>
              </w:rPr>
            </w:pPr>
            <w:r w:rsidRPr="00D84C19">
              <w:rPr>
                <w:rFonts w:hAnsi="標楷體"/>
                <w:sz w:val="28"/>
                <w:szCs w:val="28"/>
              </w:rPr>
              <w:lastRenderedPageBreak/>
              <w:t>一、</w:t>
            </w:r>
            <w:r w:rsidRPr="00D84C19">
              <w:rPr>
                <w:sz w:val="28"/>
                <w:szCs w:val="28"/>
              </w:rPr>
              <w:tab/>
            </w:r>
            <w:r w:rsidRPr="00D84C19">
              <w:rPr>
                <w:rFonts w:hAnsi="標楷體"/>
                <w:sz w:val="28"/>
                <w:szCs w:val="28"/>
              </w:rPr>
              <w:t>衍生性金融商品如屬非以避險為目的者，其最大可能損失金額。如為具有乘數條款之組合式交易，當市場價格不利於客戶交易時，交易損失將因具有乘數效果而擴大。</w:t>
            </w:r>
          </w:p>
          <w:p w:rsidR="001F76DC" w:rsidRDefault="00563C8F" w:rsidP="0044060A">
            <w:pPr>
              <w:pStyle w:val="ab"/>
              <w:tabs>
                <w:tab w:val="left" w:pos="508"/>
              </w:tabs>
              <w:kinsoku w:val="0"/>
              <w:snapToGrid w:val="0"/>
              <w:spacing w:beforeLines="20" w:line="360" w:lineRule="exact"/>
              <w:ind w:leftChars="-19" w:left="601" w:hangingChars="231" w:hanging="647"/>
              <w:rPr>
                <w:rFonts w:ascii="Cambria" w:hAnsi="Cambria"/>
                <w:sz w:val="28"/>
                <w:szCs w:val="28"/>
              </w:rPr>
            </w:pPr>
            <w:r w:rsidRPr="00D84C19">
              <w:rPr>
                <w:rFonts w:hAnsi="標楷體"/>
                <w:sz w:val="28"/>
                <w:szCs w:val="28"/>
              </w:rPr>
              <w:t>二、衍生性金融商品之市價評估</w:t>
            </w:r>
            <w:r w:rsidRPr="00D84C19">
              <w:rPr>
                <w:sz w:val="28"/>
                <w:szCs w:val="28"/>
              </w:rPr>
              <w:t>(mark-to-market)</w:t>
            </w:r>
            <w:r w:rsidRPr="00D84C19">
              <w:rPr>
                <w:rFonts w:hAnsi="標楷體"/>
                <w:sz w:val="28"/>
                <w:szCs w:val="28"/>
              </w:rPr>
              <w:t>損益係受連結標的市場價格等因素影響而變動。當市場價格不利於客戶之交易時，該交易市價評估損失，有可能遠大於預期。</w:t>
            </w:r>
          </w:p>
          <w:p w:rsidR="001F76DC" w:rsidRDefault="00563C8F" w:rsidP="0044060A">
            <w:pPr>
              <w:pStyle w:val="ab"/>
              <w:tabs>
                <w:tab w:val="left" w:pos="508"/>
              </w:tabs>
              <w:kinsoku w:val="0"/>
              <w:snapToGrid w:val="0"/>
              <w:spacing w:beforeLines="20" w:line="360" w:lineRule="exact"/>
              <w:ind w:leftChars="-19" w:left="601" w:hangingChars="231" w:hanging="647"/>
              <w:rPr>
                <w:rFonts w:ascii="Cambria" w:hAnsi="Cambria"/>
                <w:sz w:val="28"/>
                <w:szCs w:val="28"/>
              </w:rPr>
            </w:pPr>
            <w:r w:rsidRPr="00D84C19">
              <w:rPr>
                <w:rFonts w:hAnsi="標楷體"/>
                <w:sz w:val="28"/>
                <w:szCs w:val="28"/>
              </w:rPr>
              <w:t>三、客戶於契約到期前提前終止交易，如市場價格不利於客戶交易時，客戶有可能承受鉅額交易損失。</w:t>
            </w:r>
          </w:p>
          <w:p w:rsidR="001F76DC" w:rsidRDefault="00563C8F" w:rsidP="0044060A">
            <w:pPr>
              <w:pStyle w:val="ab"/>
              <w:tabs>
                <w:tab w:val="left" w:pos="508"/>
              </w:tabs>
              <w:kinsoku w:val="0"/>
              <w:snapToGrid w:val="0"/>
              <w:spacing w:beforeLines="20" w:line="360" w:lineRule="exact"/>
              <w:ind w:leftChars="-19" w:left="601" w:hangingChars="231" w:hanging="647"/>
              <w:rPr>
                <w:rFonts w:ascii="Cambria" w:hAnsi="Cambria"/>
                <w:sz w:val="28"/>
                <w:szCs w:val="28"/>
              </w:rPr>
            </w:pPr>
            <w:r w:rsidRPr="00D84C19">
              <w:rPr>
                <w:rFonts w:hAnsi="標楷體"/>
                <w:sz w:val="28"/>
                <w:szCs w:val="28"/>
              </w:rPr>
              <w:t>四、天期較長之衍生性金融商品將承受較高之風險。於市場價格不利於客戶交易時，客戶將承受較高之提前終止交易損失。</w:t>
            </w:r>
          </w:p>
          <w:p w:rsidR="001F76DC" w:rsidRDefault="00563C8F" w:rsidP="0044060A">
            <w:pPr>
              <w:pStyle w:val="ab"/>
              <w:tabs>
                <w:tab w:val="left" w:pos="508"/>
              </w:tabs>
              <w:kinsoku w:val="0"/>
              <w:snapToGrid w:val="0"/>
              <w:spacing w:beforeLines="20" w:line="360" w:lineRule="exact"/>
              <w:ind w:leftChars="-19" w:left="601" w:hangingChars="231" w:hanging="647"/>
              <w:rPr>
                <w:rFonts w:ascii="Cambria" w:hAnsi="Cambria"/>
                <w:sz w:val="28"/>
                <w:szCs w:val="28"/>
              </w:rPr>
            </w:pPr>
            <w:r w:rsidRPr="00D84C19">
              <w:rPr>
                <w:rFonts w:hAnsi="標楷體"/>
                <w:sz w:val="28"/>
                <w:szCs w:val="28"/>
              </w:rPr>
              <w:t>五、客戶如負有依市價評估結果計算應提供擔保品義務，當市場價格不利於客戶交易，致產生市價評估損失時，客戶應履行提供擔保品之義務。客戶應提供擔保品數額遠大於預期時，可能產生資金調度之流動性風險。如客戶未能</w:t>
            </w:r>
            <w:r w:rsidRPr="00D84C19">
              <w:rPr>
                <w:rFonts w:hAnsi="標楷體"/>
                <w:sz w:val="28"/>
                <w:szCs w:val="28"/>
              </w:rPr>
              <w:lastRenderedPageBreak/>
              <w:t>履行提供擔保品義務，致銀行提前終止交易，客戶將可能承受鉅額損失。</w:t>
            </w:r>
          </w:p>
          <w:p w:rsidR="005D4C76" w:rsidRPr="00D84C19" w:rsidRDefault="00563C8F" w:rsidP="00563C8F">
            <w:pPr>
              <w:pStyle w:val="ab"/>
              <w:kinsoku w:val="0"/>
              <w:snapToGrid w:val="0"/>
              <w:spacing w:before="48" w:line="400" w:lineRule="exact"/>
              <w:ind w:left="560" w:hangingChars="200" w:hanging="560"/>
              <w:rPr>
                <w:color w:val="000000"/>
                <w:sz w:val="28"/>
                <w:szCs w:val="28"/>
              </w:rPr>
            </w:pPr>
            <w:r w:rsidRPr="00D84C19">
              <w:rPr>
                <w:rFonts w:hAnsi="標楷體"/>
                <w:sz w:val="28"/>
                <w:szCs w:val="28"/>
              </w:rPr>
              <w:t>六、以避險目的承作之衍生性金融商品，如契約金額大於實質需求，超額部分將承受無實質部位覆蓋之風險。</w:t>
            </w:r>
          </w:p>
        </w:tc>
        <w:tc>
          <w:tcPr>
            <w:tcW w:w="4672" w:type="dxa"/>
            <w:shd w:val="clear" w:color="auto" w:fill="auto"/>
          </w:tcPr>
          <w:p w:rsidR="005E228C" w:rsidRPr="00D84C19" w:rsidRDefault="00ED5717" w:rsidP="00C4582E">
            <w:pPr>
              <w:spacing w:line="440" w:lineRule="exact"/>
              <w:rPr>
                <w:rFonts w:eastAsia="標楷體"/>
                <w:color w:val="000000"/>
                <w:sz w:val="28"/>
                <w:szCs w:val="28"/>
              </w:rPr>
            </w:pPr>
            <w:r w:rsidRPr="00D84C19">
              <w:rPr>
                <w:rFonts w:eastAsia="標楷體" w:hAnsi="標楷體"/>
                <w:color w:val="000000"/>
                <w:sz w:val="28"/>
                <w:szCs w:val="28"/>
              </w:rPr>
              <w:lastRenderedPageBreak/>
              <w:t>參酌</w:t>
            </w:r>
            <w:r w:rsidR="00C4582E">
              <w:rPr>
                <w:rFonts w:eastAsia="標楷體" w:hAnsi="標楷體" w:hint="eastAsia"/>
                <w:color w:val="000000"/>
                <w:sz w:val="28"/>
                <w:szCs w:val="28"/>
              </w:rPr>
              <w:t>衍商</w:t>
            </w:r>
            <w:r w:rsidRPr="00D84C19">
              <w:rPr>
                <w:rFonts w:eastAsia="標楷體" w:hAnsi="標楷體"/>
                <w:color w:val="000000"/>
                <w:sz w:val="28"/>
                <w:szCs w:val="28"/>
              </w:rPr>
              <w:t>管理辦法第</w:t>
            </w:r>
            <w:r w:rsidR="00503024" w:rsidRPr="00D84C19">
              <w:rPr>
                <w:rFonts w:eastAsia="標楷體" w:hAnsi="標楷體"/>
                <w:color w:val="000000"/>
                <w:sz w:val="28"/>
                <w:szCs w:val="28"/>
              </w:rPr>
              <w:t>二十五</w:t>
            </w:r>
            <w:r w:rsidRPr="00D84C19">
              <w:rPr>
                <w:rFonts w:eastAsia="標楷體" w:hAnsi="標楷體"/>
                <w:color w:val="000000"/>
                <w:sz w:val="28"/>
                <w:szCs w:val="28"/>
              </w:rPr>
              <w:t>條</w:t>
            </w:r>
            <w:r w:rsidR="00C4582E">
              <w:rPr>
                <w:rFonts w:eastAsia="標楷體" w:hAnsi="標楷體" w:hint="eastAsia"/>
                <w:color w:val="000000"/>
                <w:sz w:val="28"/>
                <w:szCs w:val="28"/>
              </w:rPr>
              <w:t>，</w:t>
            </w:r>
            <w:r w:rsidR="00244122">
              <w:rPr>
                <w:rFonts w:eastAsia="標楷體" w:hAnsi="標楷體" w:hint="eastAsia"/>
                <w:color w:val="000000"/>
                <w:sz w:val="28"/>
                <w:szCs w:val="28"/>
              </w:rPr>
              <w:t>酌作文字</w:t>
            </w:r>
            <w:r w:rsidRPr="00D84C19">
              <w:rPr>
                <w:rFonts w:eastAsia="標楷體" w:hAnsi="標楷體"/>
                <w:color w:val="000000"/>
                <w:sz w:val="28"/>
                <w:szCs w:val="28"/>
              </w:rPr>
              <w:t>修正。</w:t>
            </w:r>
          </w:p>
        </w:tc>
      </w:tr>
      <w:tr w:rsidR="00131E33" w:rsidRPr="00D84C19" w:rsidTr="00FF5FA8">
        <w:trPr>
          <w:trHeight w:val="966"/>
        </w:trPr>
        <w:tc>
          <w:tcPr>
            <w:tcW w:w="4671" w:type="dxa"/>
            <w:shd w:val="clear" w:color="auto" w:fill="auto"/>
          </w:tcPr>
          <w:p w:rsidR="00131E33" w:rsidRPr="00D84C19" w:rsidRDefault="00131E33" w:rsidP="0044060A">
            <w:pPr>
              <w:pStyle w:val="ab"/>
              <w:kinsoku w:val="0"/>
              <w:snapToGrid w:val="0"/>
              <w:spacing w:beforeLines="20" w:line="360" w:lineRule="exact"/>
              <w:ind w:leftChars="-15" w:left="-36"/>
              <w:rPr>
                <w:sz w:val="28"/>
                <w:szCs w:val="28"/>
              </w:rPr>
            </w:pPr>
            <w:r w:rsidRPr="00D84C19">
              <w:rPr>
                <w:rFonts w:hAnsi="標楷體"/>
                <w:sz w:val="28"/>
                <w:szCs w:val="28"/>
              </w:rPr>
              <w:lastRenderedPageBreak/>
              <w:t>第二十七條</w:t>
            </w:r>
          </w:p>
          <w:p w:rsidR="00542EEE" w:rsidRDefault="00131E33" w:rsidP="0044060A">
            <w:pPr>
              <w:pStyle w:val="ab"/>
              <w:kinsoku w:val="0"/>
              <w:snapToGrid w:val="0"/>
              <w:spacing w:beforeLines="20" w:line="360" w:lineRule="exact"/>
              <w:ind w:leftChars="-15" w:left="-36"/>
              <w:rPr>
                <w:rFonts w:ascii="Cambria" w:hAnsi="Cambria"/>
                <w:sz w:val="28"/>
                <w:szCs w:val="28"/>
              </w:rPr>
            </w:pPr>
            <w:r w:rsidRPr="00D84C19">
              <w:rPr>
                <w:sz w:val="28"/>
                <w:szCs w:val="28"/>
              </w:rPr>
              <w:t xml:space="preserve">  </w:t>
            </w:r>
            <w:r>
              <w:rPr>
                <w:rFonts w:hint="eastAsia"/>
                <w:sz w:val="28"/>
                <w:szCs w:val="28"/>
              </w:rPr>
              <w:t xml:space="preserve"> </w:t>
            </w:r>
            <w:r w:rsidRPr="00D84C19">
              <w:rPr>
                <w:rFonts w:hAnsi="標楷體"/>
                <w:sz w:val="28"/>
                <w:szCs w:val="28"/>
              </w:rPr>
              <w:t>本自律規範第十九條及第二十五</w:t>
            </w:r>
            <w:r w:rsidRPr="00D84C19">
              <w:rPr>
                <w:rFonts w:hAnsi="標楷體"/>
                <w:b/>
                <w:sz w:val="28"/>
                <w:szCs w:val="28"/>
                <w:u w:val="single"/>
              </w:rPr>
              <w:t>之一</w:t>
            </w:r>
            <w:r w:rsidRPr="00D84C19">
              <w:rPr>
                <w:rFonts w:hAnsi="標楷體"/>
                <w:sz w:val="28"/>
                <w:szCs w:val="28"/>
              </w:rPr>
              <w:t>條之錄音或錄影之個人資料當事人得於保存期限內，向銀行申請調閱依本自律規範所留存之紀錄。</w:t>
            </w:r>
          </w:p>
          <w:p w:rsidR="00542EEE" w:rsidRDefault="00131E33" w:rsidP="0044060A">
            <w:pPr>
              <w:pStyle w:val="ab"/>
              <w:kinsoku w:val="0"/>
              <w:snapToGrid w:val="0"/>
              <w:spacing w:beforeLines="20" w:line="360" w:lineRule="exact"/>
              <w:ind w:leftChars="-15" w:left="-36"/>
              <w:rPr>
                <w:sz w:val="28"/>
                <w:szCs w:val="28"/>
              </w:rPr>
            </w:pPr>
            <w:r w:rsidRPr="00D84C19">
              <w:rPr>
                <w:sz w:val="28"/>
                <w:szCs w:val="28"/>
              </w:rPr>
              <w:t xml:space="preserve">    </w:t>
            </w:r>
            <w:r w:rsidRPr="00D84C19">
              <w:rPr>
                <w:rFonts w:hAnsi="標楷體"/>
                <w:sz w:val="28"/>
                <w:szCs w:val="28"/>
              </w:rPr>
              <w:t>除該資料之提供有妨害銀行或第三人之重大利益外，銀行應配合提供前項紀錄，並得向當事人收取必要成本費用。</w:t>
            </w:r>
          </w:p>
        </w:tc>
        <w:tc>
          <w:tcPr>
            <w:tcW w:w="4671" w:type="dxa"/>
            <w:shd w:val="clear" w:color="auto" w:fill="auto"/>
          </w:tcPr>
          <w:p w:rsidR="001F76DC" w:rsidRDefault="00131E33" w:rsidP="0044060A">
            <w:pPr>
              <w:pStyle w:val="ab"/>
              <w:kinsoku w:val="0"/>
              <w:snapToGrid w:val="0"/>
              <w:spacing w:beforeLines="20" w:line="360" w:lineRule="exact"/>
              <w:ind w:leftChars="-15" w:left="-36"/>
              <w:rPr>
                <w:sz w:val="28"/>
                <w:szCs w:val="28"/>
              </w:rPr>
            </w:pPr>
            <w:r w:rsidRPr="00D84C19">
              <w:rPr>
                <w:rFonts w:hAnsi="標楷體"/>
                <w:sz w:val="28"/>
                <w:szCs w:val="28"/>
              </w:rPr>
              <w:t>第二十七條</w:t>
            </w:r>
          </w:p>
          <w:p w:rsidR="001F76DC" w:rsidRDefault="00131E33" w:rsidP="0044060A">
            <w:pPr>
              <w:pStyle w:val="ab"/>
              <w:kinsoku w:val="0"/>
              <w:snapToGrid w:val="0"/>
              <w:spacing w:beforeLines="20" w:line="360" w:lineRule="exact"/>
              <w:ind w:leftChars="-15" w:left="-36"/>
              <w:rPr>
                <w:sz w:val="28"/>
                <w:szCs w:val="28"/>
              </w:rPr>
            </w:pPr>
            <w:r w:rsidRPr="00D84C19">
              <w:rPr>
                <w:sz w:val="28"/>
                <w:szCs w:val="28"/>
              </w:rPr>
              <w:t xml:space="preserve">  </w:t>
            </w:r>
            <w:r>
              <w:rPr>
                <w:rFonts w:hint="eastAsia"/>
                <w:sz w:val="28"/>
                <w:szCs w:val="28"/>
              </w:rPr>
              <w:t xml:space="preserve"> </w:t>
            </w:r>
            <w:r w:rsidRPr="00D84C19">
              <w:rPr>
                <w:rFonts w:hAnsi="標楷體"/>
                <w:sz w:val="28"/>
                <w:szCs w:val="28"/>
              </w:rPr>
              <w:t>本自律規範第十九條及第二十五條之錄音或錄影之個人資料當事人得於保存期限內，向銀行申請調閱依本自律規範所留存之紀錄。</w:t>
            </w:r>
          </w:p>
          <w:p w:rsidR="001F76DC" w:rsidRDefault="00131E33" w:rsidP="0044060A">
            <w:pPr>
              <w:pStyle w:val="ab"/>
              <w:kinsoku w:val="0"/>
              <w:snapToGrid w:val="0"/>
              <w:spacing w:beforeLines="20" w:line="360" w:lineRule="exact"/>
              <w:ind w:leftChars="-15" w:left="-36"/>
              <w:rPr>
                <w:sz w:val="28"/>
                <w:szCs w:val="28"/>
              </w:rPr>
            </w:pPr>
            <w:r w:rsidRPr="00D84C19">
              <w:rPr>
                <w:sz w:val="28"/>
                <w:szCs w:val="28"/>
              </w:rPr>
              <w:t xml:space="preserve">    </w:t>
            </w:r>
            <w:r w:rsidRPr="00D84C19">
              <w:rPr>
                <w:rFonts w:hAnsi="標楷體"/>
                <w:sz w:val="28"/>
                <w:szCs w:val="28"/>
              </w:rPr>
              <w:t>除該資料之提供有妨害銀行或第三人之重大利益外，銀行應配合提供前項紀錄，並得向當事人收取必要成本費用。</w:t>
            </w:r>
          </w:p>
        </w:tc>
        <w:tc>
          <w:tcPr>
            <w:tcW w:w="4672" w:type="dxa"/>
            <w:shd w:val="clear" w:color="auto" w:fill="auto"/>
          </w:tcPr>
          <w:p w:rsidR="00131E33" w:rsidRPr="00D84C19" w:rsidRDefault="00131E33" w:rsidP="000950A6">
            <w:pPr>
              <w:spacing w:line="440" w:lineRule="exact"/>
              <w:rPr>
                <w:rFonts w:eastAsia="標楷體"/>
                <w:color w:val="000000"/>
                <w:sz w:val="28"/>
                <w:szCs w:val="28"/>
              </w:rPr>
            </w:pPr>
            <w:r>
              <w:rPr>
                <w:rFonts w:eastAsia="標楷體" w:hAnsi="標楷體" w:hint="eastAsia"/>
                <w:color w:val="000000"/>
                <w:sz w:val="28"/>
                <w:szCs w:val="28"/>
              </w:rPr>
              <w:t>有關銀行與客戶承作複雜性高風險商品交易應告知交易條件重要內容及相關風險之錄音或錄影保存紀錄規定移至第二十五之一條，爰配合修正條次</w:t>
            </w:r>
            <w:r w:rsidRPr="00D84C19">
              <w:rPr>
                <w:rFonts w:eastAsia="標楷體" w:hAnsi="標楷體"/>
                <w:color w:val="000000"/>
                <w:sz w:val="28"/>
                <w:szCs w:val="28"/>
              </w:rPr>
              <w:t>。</w:t>
            </w:r>
          </w:p>
        </w:tc>
      </w:tr>
    </w:tbl>
    <w:p w:rsidR="0093227C" w:rsidRPr="00D84C19" w:rsidRDefault="0093227C" w:rsidP="005F04C5">
      <w:pPr>
        <w:spacing w:line="440" w:lineRule="exact"/>
        <w:rPr>
          <w:rFonts w:eastAsia="標楷體"/>
          <w:sz w:val="28"/>
          <w:szCs w:val="28"/>
        </w:rPr>
      </w:pPr>
    </w:p>
    <w:sectPr w:rsidR="0093227C" w:rsidRPr="00D84C19" w:rsidSect="004F09BC">
      <w:footerReference w:type="even" r:id="rId8"/>
      <w:footerReference w:type="default" r:id="rId9"/>
      <w:pgSz w:w="16838" w:h="11906" w:orient="landscape"/>
      <w:pgMar w:top="624" w:right="1440" w:bottom="624" w:left="1440" w:header="851" w:footer="248"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4885" w:rsidRDefault="00624885">
      <w:r>
        <w:separator/>
      </w:r>
    </w:p>
  </w:endnote>
  <w:endnote w:type="continuationSeparator" w:id="1">
    <w:p w:rsidR="00624885" w:rsidRDefault="006248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1D3" w:rsidRDefault="00130166" w:rsidP="009A37A3">
    <w:pPr>
      <w:pStyle w:val="a4"/>
      <w:framePr w:wrap="around" w:vAnchor="text" w:hAnchor="margin" w:xAlign="center" w:y="1"/>
      <w:rPr>
        <w:rStyle w:val="a6"/>
      </w:rPr>
    </w:pPr>
    <w:r>
      <w:rPr>
        <w:rStyle w:val="a6"/>
      </w:rPr>
      <w:fldChar w:fldCharType="begin"/>
    </w:r>
    <w:r w:rsidR="007201D3">
      <w:rPr>
        <w:rStyle w:val="a6"/>
      </w:rPr>
      <w:instrText xml:space="preserve">PAGE  </w:instrText>
    </w:r>
    <w:r>
      <w:rPr>
        <w:rStyle w:val="a6"/>
      </w:rPr>
      <w:fldChar w:fldCharType="end"/>
    </w:r>
  </w:p>
  <w:p w:rsidR="007201D3" w:rsidRDefault="007201D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1D3" w:rsidRDefault="00130166">
    <w:pPr>
      <w:pStyle w:val="a4"/>
      <w:jc w:val="center"/>
    </w:pPr>
    <w:r w:rsidRPr="00130166">
      <w:fldChar w:fldCharType="begin"/>
    </w:r>
    <w:r w:rsidR="006A0BBE">
      <w:instrText xml:space="preserve"> PAGE   \* MERGEFORMAT </w:instrText>
    </w:r>
    <w:r w:rsidRPr="00130166">
      <w:fldChar w:fldCharType="separate"/>
    </w:r>
    <w:r w:rsidR="0044060A" w:rsidRPr="0044060A">
      <w:rPr>
        <w:noProof/>
        <w:lang w:val="zh-TW"/>
      </w:rPr>
      <w:t>4</w:t>
    </w:r>
    <w:r>
      <w:rPr>
        <w:noProof/>
        <w:lang w:val="zh-TW"/>
      </w:rPr>
      <w:fldChar w:fldCharType="end"/>
    </w:r>
  </w:p>
  <w:p w:rsidR="007201D3" w:rsidRDefault="007201D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4885" w:rsidRDefault="00624885">
      <w:r>
        <w:separator/>
      </w:r>
    </w:p>
  </w:footnote>
  <w:footnote w:type="continuationSeparator" w:id="1">
    <w:p w:rsidR="00624885" w:rsidRDefault="006248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E62A8"/>
    <w:multiLevelType w:val="hybridMultilevel"/>
    <w:tmpl w:val="0BF4EE44"/>
    <w:lvl w:ilvl="0" w:tplc="5CAA7C8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AA35289"/>
    <w:multiLevelType w:val="hybridMultilevel"/>
    <w:tmpl w:val="B8402748"/>
    <w:lvl w:ilvl="0" w:tplc="29D07EA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F9626BA"/>
    <w:multiLevelType w:val="hybridMultilevel"/>
    <w:tmpl w:val="F2B6DB8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FBA0F6C"/>
    <w:multiLevelType w:val="hybridMultilevel"/>
    <w:tmpl w:val="E8AA6CE0"/>
    <w:lvl w:ilvl="0" w:tplc="B22838CA">
      <w:start w:val="2"/>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88D0C97"/>
    <w:multiLevelType w:val="hybridMultilevel"/>
    <w:tmpl w:val="732CE5A8"/>
    <w:lvl w:ilvl="0" w:tplc="5AA87954">
      <w:start w:val="1"/>
      <w:numFmt w:val="taiwaneseCountingThousand"/>
      <w:lvlText w:val="%1、"/>
      <w:lvlJc w:val="left"/>
      <w:pPr>
        <w:ind w:left="480" w:hanging="480"/>
      </w:pPr>
      <w:rPr>
        <w:rFonts w:ascii="標楷體" w:eastAsia="標楷體" w:hAnsi="標楷體" w:hint="eastAsia"/>
        <w:lang w:val="en-US"/>
      </w:rPr>
    </w:lvl>
    <w:lvl w:ilvl="1" w:tplc="C0E22F94">
      <w:start w:val="1"/>
      <w:numFmt w:val="ideographDigital"/>
      <w:lvlText w:val="(%2)"/>
      <w:lvlJc w:val="left"/>
      <w:pPr>
        <w:ind w:left="960" w:hanging="480"/>
      </w:pPr>
      <w:rPr>
        <w:rFonts w:ascii="Times New Roman" w:eastAsia="標楷體" w:hAnsi="Times New Roman" w:hint="default"/>
        <w:b w:val="0"/>
        <w:i w:val="0"/>
        <w:sz w:val="28"/>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CB45348"/>
    <w:multiLevelType w:val="hybridMultilevel"/>
    <w:tmpl w:val="D490267A"/>
    <w:lvl w:ilvl="0" w:tplc="BA862F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D736BB9"/>
    <w:multiLevelType w:val="hybridMultilevel"/>
    <w:tmpl w:val="6D7A4E80"/>
    <w:lvl w:ilvl="0" w:tplc="F0B63FB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B632916"/>
    <w:multiLevelType w:val="hybridMultilevel"/>
    <w:tmpl w:val="33EE9DFA"/>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nsid w:val="36C31D62"/>
    <w:multiLevelType w:val="hybridMultilevel"/>
    <w:tmpl w:val="18608A38"/>
    <w:lvl w:ilvl="0" w:tplc="BCD005F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4458390B"/>
    <w:multiLevelType w:val="hybridMultilevel"/>
    <w:tmpl w:val="B0600692"/>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EFA1514"/>
    <w:multiLevelType w:val="hybridMultilevel"/>
    <w:tmpl w:val="638AFEDE"/>
    <w:lvl w:ilvl="0" w:tplc="332450CE">
      <w:start w:val="1"/>
      <w:numFmt w:val="taiwaneseCountingThousand"/>
      <w:lvlText w:val="%1、"/>
      <w:lvlJc w:val="left"/>
      <w:pPr>
        <w:ind w:left="1145" w:hanging="720"/>
      </w:pPr>
      <w:rPr>
        <w:color w:val="auto"/>
      </w:rPr>
    </w:lvl>
    <w:lvl w:ilvl="1" w:tplc="04090019">
      <w:start w:val="1"/>
      <w:numFmt w:val="ideographTraditional"/>
      <w:lvlText w:val="%2、"/>
      <w:lvlJc w:val="left"/>
      <w:pPr>
        <w:ind w:left="1385" w:hanging="480"/>
      </w:pPr>
    </w:lvl>
    <w:lvl w:ilvl="2" w:tplc="0409001B">
      <w:start w:val="1"/>
      <w:numFmt w:val="lowerRoman"/>
      <w:lvlText w:val="%3."/>
      <w:lvlJc w:val="right"/>
      <w:pPr>
        <w:ind w:left="1865" w:hanging="480"/>
      </w:pPr>
    </w:lvl>
    <w:lvl w:ilvl="3" w:tplc="0409000F">
      <w:start w:val="1"/>
      <w:numFmt w:val="decimal"/>
      <w:lvlText w:val="%4."/>
      <w:lvlJc w:val="left"/>
      <w:pPr>
        <w:ind w:left="2345" w:hanging="480"/>
      </w:pPr>
    </w:lvl>
    <w:lvl w:ilvl="4" w:tplc="04090019">
      <w:start w:val="1"/>
      <w:numFmt w:val="ideographTraditional"/>
      <w:lvlText w:val="%5、"/>
      <w:lvlJc w:val="left"/>
      <w:pPr>
        <w:ind w:left="2825" w:hanging="480"/>
      </w:pPr>
    </w:lvl>
    <w:lvl w:ilvl="5" w:tplc="0409001B">
      <w:start w:val="1"/>
      <w:numFmt w:val="lowerRoman"/>
      <w:lvlText w:val="%6."/>
      <w:lvlJc w:val="right"/>
      <w:pPr>
        <w:ind w:left="3305" w:hanging="480"/>
      </w:pPr>
    </w:lvl>
    <w:lvl w:ilvl="6" w:tplc="0409000F">
      <w:start w:val="1"/>
      <w:numFmt w:val="decimal"/>
      <w:lvlText w:val="%7."/>
      <w:lvlJc w:val="left"/>
      <w:pPr>
        <w:ind w:left="3785" w:hanging="480"/>
      </w:pPr>
    </w:lvl>
    <w:lvl w:ilvl="7" w:tplc="04090019">
      <w:start w:val="1"/>
      <w:numFmt w:val="ideographTraditional"/>
      <w:lvlText w:val="%8、"/>
      <w:lvlJc w:val="left"/>
      <w:pPr>
        <w:ind w:left="4265" w:hanging="480"/>
      </w:pPr>
    </w:lvl>
    <w:lvl w:ilvl="8" w:tplc="0409001B">
      <w:start w:val="1"/>
      <w:numFmt w:val="lowerRoman"/>
      <w:lvlText w:val="%9."/>
      <w:lvlJc w:val="right"/>
      <w:pPr>
        <w:ind w:left="4745" w:hanging="480"/>
      </w:pPr>
    </w:lvl>
  </w:abstractNum>
  <w:abstractNum w:abstractNumId="11">
    <w:nsid w:val="5790010A"/>
    <w:multiLevelType w:val="hybridMultilevel"/>
    <w:tmpl w:val="0BCA85A2"/>
    <w:lvl w:ilvl="0" w:tplc="BCD005F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5F6C6B0E"/>
    <w:multiLevelType w:val="hybridMultilevel"/>
    <w:tmpl w:val="90221510"/>
    <w:lvl w:ilvl="0" w:tplc="8FA04F78">
      <w:start w:val="1"/>
      <w:numFmt w:val="taiwaneseCountingThousand"/>
      <w:lvlText w:val="%1、"/>
      <w:lvlJc w:val="left"/>
      <w:pPr>
        <w:ind w:left="3598" w:hanging="480"/>
      </w:pPr>
      <w:rPr>
        <w:rFonts w:ascii="標楷體" w:eastAsia="標楷體" w:hAnsi="標楷體"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624255C7"/>
    <w:multiLevelType w:val="hybridMultilevel"/>
    <w:tmpl w:val="0BCA85A2"/>
    <w:lvl w:ilvl="0" w:tplc="BCD005F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655529B1"/>
    <w:multiLevelType w:val="hybridMultilevel"/>
    <w:tmpl w:val="732CE5A8"/>
    <w:lvl w:ilvl="0" w:tplc="5AA87954">
      <w:start w:val="1"/>
      <w:numFmt w:val="taiwaneseCountingThousand"/>
      <w:lvlText w:val="%1、"/>
      <w:lvlJc w:val="left"/>
      <w:pPr>
        <w:ind w:left="1897" w:hanging="480"/>
      </w:pPr>
      <w:rPr>
        <w:rFonts w:ascii="標楷體" w:eastAsia="標楷體" w:hAnsi="標楷體" w:hint="eastAsia"/>
        <w:lang w:val="en-US"/>
      </w:rPr>
    </w:lvl>
    <w:lvl w:ilvl="1" w:tplc="C0E22F94">
      <w:start w:val="1"/>
      <w:numFmt w:val="ideographDigital"/>
      <w:lvlText w:val="(%2)"/>
      <w:lvlJc w:val="left"/>
      <w:pPr>
        <w:ind w:left="960" w:hanging="480"/>
      </w:pPr>
      <w:rPr>
        <w:rFonts w:ascii="Times New Roman" w:eastAsia="標楷體" w:hAnsi="Times New Roman" w:hint="default"/>
        <w:b w:val="0"/>
        <w:i w:val="0"/>
        <w:sz w:val="28"/>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B86523E"/>
    <w:multiLevelType w:val="hybridMultilevel"/>
    <w:tmpl w:val="ED66F5FA"/>
    <w:lvl w:ilvl="0" w:tplc="F8AC841C">
      <w:start w:val="1"/>
      <w:numFmt w:val="taiwaneseCountingThousand"/>
      <w:lvlText w:val="%1、"/>
      <w:lvlJc w:val="left"/>
      <w:pPr>
        <w:ind w:left="480" w:hanging="480"/>
      </w:pPr>
      <w:rPr>
        <w:rFonts w:hint="default"/>
        <w:color w:val="auto"/>
      </w:rPr>
    </w:lvl>
    <w:lvl w:ilvl="1" w:tplc="C0E22F94">
      <w:start w:val="1"/>
      <w:numFmt w:val="ideographDigital"/>
      <w:lvlText w:val="(%2)"/>
      <w:lvlJc w:val="left"/>
      <w:pPr>
        <w:ind w:left="960" w:hanging="480"/>
      </w:pPr>
      <w:rPr>
        <w:rFonts w:ascii="Times New Roman" w:eastAsia="標楷體" w:hAnsi="Times New Roman" w:hint="default"/>
        <w:b w:val="0"/>
        <w:i w:val="0"/>
        <w:sz w:val="28"/>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7"/>
  </w:num>
  <w:num w:numId="2">
    <w:abstractNumId w:val="9"/>
  </w:num>
  <w:num w:numId="3">
    <w:abstractNumId w:val="3"/>
  </w:num>
  <w:num w:numId="4">
    <w:abstractNumId w:val="5"/>
  </w:num>
  <w:num w:numId="5">
    <w:abstractNumId w:val="13"/>
  </w:num>
  <w:num w:numId="6">
    <w:abstractNumId w:val="11"/>
  </w:num>
  <w:num w:numId="7">
    <w:abstractNumId w:val="8"/>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6"/>
  </w:num>
  <w:num w:numId="11">
    <w:abstractNumId w:val="15"/>
  </w:num>
  <w:num w:numId="12">
    <w:abstractNumId w:val="4"/>
  </w:num>
  <w:num w:numId="13">
    <w:abstractNumId w:val="12"/>
  </w:num>
  <w:num w:numId="14">
    <w:abstractNumId w:val="2"/>
  </w:num>
  <w:num w:numId="15">
    <w:abstractNumId w:val="0"/>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efaultTabStop w:val="480"/>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44335"/>
    <w:rsid w:val="00001860"/>
    <w:rsid w:val="00001C0C"/>
    <w:rsid w:val="00002755"/>
    <w:rsid w:val="000040E5"/>
    <w:rsid w:val="00005AA6"/>
    <w:rsid w:val="0000658F"/>
    <w:rsid w:val="00007045"/>
    <w:rsid w:val="00007BB7"/>
    <w:rsid w:val="00010284"/>
    <w:rsid w:val="00010AA5"/>
    <w:rsid w:val="00015FAC"/>
    <w:rsid w:val="00016569"/>
    <w:rsid w:val="000171FA"/>
    <w:rsid w:val="000201C1"/>
    <w:rsid w:val="00020354"/>
    <w:rsid w:val="00020ABF"/>
    <w:rsid w:val="00022992"/>
    <w:rsid w:val="00032469"/>
    <w:rsid w:val="000327EF"/>
    <w:rsid w:val="0003562D"/>
    <w:rsid w:val="00035707"/>
    <w:rsid w:val="00037E06"/>
    <w:rsid w:val="000409E0"/>
    <w:rsid w:val="0004105F"/>
    <w:rsid w:val="00042329"/>
    <w:rsid w:val="00042CD7"/>
    <w:rsid w:val="000431DE"/>
    <w:rsid w:val="000431E3"/>
    <w:rsid w:val="00044E89"/>
    <w:rsid w:val="00050A8D"/>
    <w:rsid w:val="00052224"/>
    <w:rsid w:val="00052B91"/>
    <w:rsid w:val="0005548D"/>
    <w:rsid w:val="00055A35"/>
    <w:rsid w:val="000565D1"/>
    <w:rsid w:val="000573A1"/>
    <w:rsid w:val="000576AF"/>
    <w:rsid w:val="0006028D"/>
    <w:rsid w:val="00062534"/>
    <w:rsid w:val="0006260B"/>
    <w:rsid w:val="000634AF"/>
    <w:rsid w:val="00064397"/>
    <w:rsid w:val="00064A1E"/>
    <w:rsid w:val="0007046F"/>
    <w:rsid w:val="0007215F"/>
    <w:rsid w:val="000733C8"/>
    <w:rsid w:val="000741FF"/>
    <w:rsid w:val="000775F5"/>
    <w:rsid w:val="00083571"/>
    <w:rsid w:val="00083849"/>
    <w:rsid w:val="00083BDE"/>
    <w:rsid w:val="000845CD"/>
    <w:rsid w:val="0009042F"/>
    <w:rsid w:val="00090A2E"/>
    <w:rsid w:val="00091F46"/>
    <w:rsid w:val="000950A6"/>
    <w:rsid w:val="00095EC5"/>
    <w:rsid w:val="000961D0"/>
    <w:rsid w:val="000964D1"/>
    <w:rsid w:val="00096F54"/>
    <w:rsid w:val="000A04ED"/>
    <w:rsid w:val="000A081B"/>
    <w:rsid w:val="000A0CEE"/>
    <w:rsid w:val="000B3433"/>
    <w:rsid w:val="000B4111"/>
    <w:rsid w:val="000B63F1"/>
    <w:rsid w:val="000B7248"/>
    <w:rsid w:val="000C1A2C"/>
    <w:rsid w:val="000C3E30"/>
    <w:rsid w:val="000C4A1B"/>
    <w:rsid w:val="000C5AC7"/>
    <w:rsid w:val="000C5B2F"/>
    <w:rsid w:val="000C7DD2"/>
    <w:rsid w:val="000D3BB1"/>
    <w:rsid w:val="000D4623"/>
    <w:rsid w:val="000E0651"/>
    <w:rsid w:val="000E247B"/>
    <w:rsid w:val="000E375D"/>
    <w:rsid w:val="000E3D65"/>
    <w:rsid w:val="000F378B"/>
    <w:rsid w:val="000F54B8"/>
    <w:rsid w:val="000F70FA"/>
    <w:rsid w:val="0010172F"/>
    <w:rsid w:val="00105552"/>
    <w:rsid w:val="00112608"/>
    <w:rsid w:val="001150BD"/>
    <w:rsid w:val="0011609B"/>
    <w:rsid w:val="0011656B"/>
    <w:rsid w:val="00117421"/>
    <w:rsid w:val="001248A6"/>
    <w:rsid w:val="00125B5E"/>
    <w:rsid w:val="00130166"/>
    <w:rsid w:val="0013159A"/>
    <w:rsid w:val="00131E33"/>
    <w:rsid w:val="00132ADD"/>
    <w:rsid w:val="00135603"/>
    <w:rsid w:val="001356CE"/>
    <w:rsid w:val="00136665"/>
    <w:rsid w:val="0013765C"/>
    <w:rsid w:val="001419E1"/>
    <w:rsid w:val="00141E0B"/>
    <w:rsid w:val="00142C1E"/>
    <w:rsid w:val="001443B9"/>
    <w:rsid w:val="00145E1D"/>
    <w:rsid w:val="00146C3A"/>
    <w:rsid w:val="00150EA4"/>
    <w:rsid w:val="00154F18"/>
    <w:rsid w:val="001555CF"/>
    <w:rsid w:val="00156993"/>
    <w:rsid w:val="00160B4C"/>
    <w:rsid w:val="00160B98"/>
    <w:rsid w:val="00162493"/>
    <w:rsid w:val="00166C5D"/>
    <w:rsid w:val="00167D21"/>
    <w:rsid w:val="001704E1"/>
    <w:rsid w:val="00170518"/>
    <w:rsid w:val="001713AB"/>
    <w:rsid w:val="00171999"/>
    <w:rsid w:val="00172D1F"/>
    <w:rsid w:val="00173C49"/>
    <w:rsid w:val="0017409A"/>
    <w:rsid w:val="00174C58"/>
    <w:rsid w:val="00175C46"/>
    <w:rsid w:val="00182346"/>
    <w:rsid w:val="001833FA"/>
    <w:rsid w:val="00186DE0"/>
    <w:rsid w:val="00187227"/>
    <w:rsid w:val="00191AFC"/>
    <w:rsid w:val="0019262E"/>
    <w:rsid w:val="0019270D"/>
    <w:rsid w:val="00194240"/>
    <w:rsid w:val="00195EC5"/>
    <w:rsid w:val="001961CE"/>
    <w:rsid w:val="00197487"/>
    <w:rsid w:val="001A475A"/>
    <w:rsid w:val="001B0719"/>
    <w:rsid w:val="001B223D"/>
    <w:rsid w:val="001B3340"/>
    <w:rsid w:val="001B4E9A"/>
    <w:rsid w:val="001B7791"/>
    <w:rsid w:val="001C15E0"/>
    <w:rsid w:val="001C2879"/>
    <w:rsid w:val="001C5FF8"/>
    <w:rsid w:val="001C6547"/>
    <w:rsid w:val="001C65D4"/>
    <w:rsid w:val="001D6325"/>
    <w:rsid w:val="001E0D40"/>
    <w:rsid w:val="001E2CEA"/>
    <w:rsid w:val="001E37B2"/>
    <w:rsid w:val="001E3FBE"/>
    <w:rsid w:val="001E420D"/>
    <w:rsid w:val="001E658F"/>
    <w:rsid w:val="001E732C"/>
    <w:rsid w:val="001E7822"/>
    <w:rsid w:val="001E79EB"/>
    <w:rsid w:val="001F07CF"/>
    <w:rsid w:val="001F1A8C"/>
    <w:rsid w:val="001F2A03"/>
    <w:rsid w:val="001F690B"/>
    <w:rsid w:val="001F76DC"/>
    <w:rsid w:val="00200801"/>
    <w:rsid w:val="002038BE"/>
    <w:rsid w:val="0021109F"/>
    <w:rsid w:val="002114DB"/>
    <w:rsid w:val="002119E9"/>
    <w:rsid w:val="002151C5"/>
    <w:rsid w:val="0021716A"/>
    <w:rsid w:val="0022071B"/>
    <w:rsid w:val="00220AB2"/>
    <w:rsid w:val="00221BA3"/>
    <w:rsid w:val="00221EA4"/>
    <w:rsid w:val="00223811"/>
    <w:rsid w:val="00224D56"/>
    <w:rsid w:val="00226DEF"/>
    <w:rsid w:val="002328F5"/>
    <w:rsid w:val="00236168"/>
    <w:rsid w:val="00236E13"/>
    <w:rsid w:val="0024301A"/>
    <w:rsid w:val="00244122"/>
    <w:rsid w:val="00244507"/>
    <w:rsid w:val="0024608B"/>
    <w:rsid w:val="00246932"/>
    <w:rsid w:val="00246D58"/>
    <w:rsid w:val="00247293"/>
    <w:rsid w:val="002509D3"/>
    <w:rsid w:val="00251DE6"/>
    <w:rsid w:val="00251DF0"/>
    <w:rsid w:val="002530E9"/>
    <w:rsid w:val="00253F49"/>
    <w:rsid w:val="00254351"/>
    <w:rsid w:val="00254419"/>
    <w:rsid w:val="00255469"/>
    <w:rsid w:val="00255FB8"/>
    <w:rsid w:val="00257AFF"/>
    <w:rsid w:val="00262D0F"/>
    <w:rsid w:val="00267317"/>
    <w:rsid w:val="00270536"/>
    <w:rsid w:val="002820B1"/>
    <w:rsid w:val="002830AA"/>
    <w:rsid w:val="00284C28"/>
    <w:rsid w:val="002870A7"/>
    <w:rsid w:val="0029143C"/>
    <w:rsid w:val="0029174B"/>
    <w:rsid w:val="00296C7D"/>
    <w:rsid w:val="0029758D"/>
    <w:rsid w:val="002A1640"/>
    <w:rsid w:val="002A52FE"/>
    <w:rsid w:val="002A6004"/>
    <w:rsid w:val="002A731F"/>
    <w:rsid w:val="002B13E2"/>
    <w:rsid w:val="002B2951"/>
    <w:rsid w:val="002B2F99"/>
    <w:rsid w:val="002B5EA6"/>
    <w:rsid w:val="002B6AB0"/>
    <w:rsid w:val="002B6F2E"/>
    <w:rsid w:val="002B71D5"/>
    <w:rsid w:val="002C1A6F"/>
    <w:rsid w:val="002C3186"/>
    <w:rsid w:val="002C3725"/>
    <w:rsid w:val="002C45E9"/>
    <w:rsid w:val="002D0460"/>
    <w:rsid w:val="002D49FA"/>
    <w:rsid w:val="002E3864"/>
    <w:rsid w:val="002E4EA2"/>
    <w:rsid w:val="002E593E"/>
    <w:rsid w:val="002E5995"/>
    <w:rsid w:val="002F20C3"/>
    <w:rsid w:val="002F266A"/>
    <w:rsid w:val="002F3AEB"/>
    <w:rsid w:val="002F4DA1"/>
    <w:rsid w:val="002F5267"/>
    <w:rsid w:val="002F5FAE"/>
    <w:rsid w:val="002F6C1E"/>
    <w:rsid w:val="00300BD2"/>
    <w:rsid w:val="003014DE"/>
    <w:rsid w:val="00305CAE"/>
    <w:rsid w:val="00307548"/>
    <w:rsid w:val="00310EE6"/>
    <w:rsid w:val="0031248F"/>
    <w:rsid w:val="0031404D"/>
    <w:rsid w:val="00314D05"/>
    <w:rsid w:val="00315EDF"/>
    <w:rsid w:val="00316D1C"/>
    <w:rsid w:val="00320A15"/>
    <w:rsid w:val="003229AA"/>
    <w:rsid w:val="00323070"/>
    <w:rsid w:val="00323800"/>
    <w:rsid w:val="0032484A"/>
    <w:rsid w:val="00333400"/>
    <w:rsid w:val="003351F7"/>
    <w:rsid w:val="00340D00"/>
    <w:rsid w:val="003411C5"/>
    <w:rsid w:val="00343D05"/>
    <w:rsid w:val="00344335"/>
    <w:rsid w:val="00344BA7"/>
    <w:rsid w:val="003465D7"/>
    <w:rsid w:val="00346761"/>
    <w:rsid w:val="00351256"/>
    <w:rsid w:val="00352C5F"/>
    <w:rsid w:val="00353CC1"/>
    <w:rsid w:val="00356704"/>
    <w:rsid w:val="0036086D"/>
    <w:rsid w:val="00362359"/>
    <w:rsid w:val="00362B17"/>
    <w:rsid w:val="003632E1"/>
    <w:rsid w:val="003634C9"/>
    <w:rsid w:val="00370B78"/>
    <w:rsid w:val="00370D07"/>
    <w:rsid w:val="00371A7E"/>
    <w:rsid w:val="00375481"/>
    <w:rsid w:val="003778F3"/>
    <w:rsid w:val="00381434"/>
    <w:rsid w:val="00386085"/>
    <w:rsid w:val="00387D6B"/>
    <w:rsid w:val="003921A2"/>
    <w:rsid w:val="00392F61"/>
    <w:rsid w:val="00395073"/>
    <w:rsid w:val="00395AE8"/>
    <w:rsid w:val="00395E9D"/>
    <w:rsid w:val="003A198D"/>
    <w:rsid w:val="003A1D90"/>
    <w:rsid w:val="003A2B98"/>
    <w:rsid w:val="003A43BF"/>
    <w:rsid w:val="003B023A"/>
    <w:rsid w:val="003B2141"/>
    <w:rsid w:val="003B246A"/>
    <w:rsid w:val="003B3510"/>
    <w:rsid w:val="003B541D"/>
    <w:rsid w:val="003C0EAF"/>
    <w:rsid w:val="003C2EA0"/>
    <w:rsid w:val="003C4575"/>
    <w:rsid w:val="003C72B6"/>
    <w:rsid w:val="003C7BD5"/>
    <w:rsid w:val="003D5D14"/>
    <w:rsid w:val="003D7567"/>
    <w:rsid w:val="003E1650"/>
    <w:rsid w:val="003E2240"/>
    <w:rsid w:val="003E3775"/>
    <w:rsid w:val="003E3FB4"/>
    <w:rsid w:val="003E4A32"/>
    <w:rsid w:val="003F0515"/>
    <w:rsid w:val="003F0C2A"/>
    <w:rsid w:val="003F1B83"/>
    <w:rsid w:val="003F3FE2"/>
    <w:rsid w:val="003F6D94"/>
    <w:rsid w:val="0040066E"/>
    <w:rsid w:val="00401517"/>
    <w:rsid w:val="004024D7"/>
    <w:rsid w:val="00410125"/>
    <w:rsid w:val="00410DE3"/>
    <w:rsid w:val="00410E32"/>
    <w:rsid w:val="0041465E"/>
    <w:rsid w:val="00414A41"/>
    <w:rsid w:val="00417D06"/>
    <w:rsid w:val="00431923"/>
    <w:rsid w:val="00432ECB"/>
    <w:rsid w:val="004330A1"/>
    <w:rsid w:val="00434960"/>
    <w:rsid w:val="00434CFF"/>
    <w:rsid w:val="00435652"/>
    <w:rsid w:val="0044060A"/>
    <w:rsid w:val="00440A16"/>
    <w:rsid w:val="004421B2"/>
    <w:rsid w:val="00445702"/>
    <w:rsid w:val="00447C99"/>
    <w:rsid w:val="00451A6E"/>
    <w:rsid w:val="00455CD9"/>
    <w:rsid w:val="0045667C"/>
    <w:rsid w:val="0045744C"/>
    <w:rsid w:val="00466E99"/>
    <w:rsid w:val="004701BD"/>
    <w:rsid w:val="00471795"/>
    <w:rsid w:val="00471BE2"/>
    <w:rsid w:val="004727BF"/>
    <w:rsid w:val="00472DE9"/>
    <w:rsid w:val="004753C9"/>
    <w:rsid w:val="00477203"/>
    <w:rsid w:val="00480737"/>
    <w:rsid w:val="0048173F"/>
    <w:rsid w:val="00483168"/>
    <w:rsid w:val="004846FA"/>
    <w:rsid w:val="00484A52"/>
    <w:rsid w:val="0049496E"/>
    <w:rsid w:val="004957C7"/>
    <w:rsid w:val="004A1055"/>
    <w:rsid w:val="004A1C2A"/>
    <w:rsid w:val="004A375A"/>
    <w:rsid w:val="004A50B5"/>
    <w:rsid w:val="004A62CE"/>
    <w:rsid w:val="004A68FF"/>
    <w:rsid w:val="004B1430"/>
    <w:rsid w:val="004B2644"/>
    <w:rsid w:val="004B3C5C"/>
    <w:rsid w:val="004B5231"/>
    <w:rsid w:val="004B5250"/>
    <w:rsid w:val="004B784F"/>
    <w:rsid w:val="004B7E49"/>
    <w:rsid w:val="004C31E1"/>
    <w:rsid w:val="004D127E"/>
    <w:rsid w:val="004D324B"/>
    <w:rsid w:val="004D32AA"/>
    <w:rsid w:val="004D4C27"/>
    <w:rsid w:val="004E14F4"/>
    <w:rsid w:val="004E1B94"/>
    <w:rsid w:val="004E40B6"/>
    <w:rsid w:val="004E4AFB"/>
    <w:rsid w:val="004E4C45"/>
    <w:rsid w:val="004E557B"/>
    <w:rsid w:val="004E6D46"/>
    <w:rsid w:val="004F09BC"/>
    <w:rsid w:val="004F2A0D"/>
    <w:rsid w:val="004F460A"/>
    <w:rsid w:val="00501A9C"/>
    <w:rsid w:val="00503024"/>
    <w:rsid w:val="00506E04"/>
    <w:rsid w:val="005071D6"/>
    <w:rsid w:val="0051025B"/>
    <w:rsid w:val="00511861"/>
    <w:rsid w:val="00511BD2"/>
    <w:rsid w:val="00513C2E"/>
    <w:rsid w:val="00515B2F"/>
    <w:rsid w:val="00520C1A"/>
    <w:rsid w:val="00520E80"/>
    <w:rsid w:val="0052369A"/>
    <w:rsid w:val="00523CA4"/>
    <w:rsid w:val="005243DD"/>
    <w:rsid w:val="00524986"/>
    <w:rsid w:val="00525573"/>
    <w:rsid w:val="00526138"/>
    <w:rsid w:val="00526CAA"/>
    <w:rsid w:val="00527734"/>
    <w:rsid w:val="00527962"/>
    <w:rsid w:val="00530C13"/>
    <w:rsid w:val="00532F8E"/>
    <w:rsid w:val="00533964"/>
    <w:rsid w:val="00534556"/>
    <w:rsid w:val="0053487E"/>
    <w:rsid w:val="00535CAE"/>
    <w:rsid w:val="00536ADE"/>
    <w:rsid w:val="005406C0"/>
    <w:rsid w:val="00542EEE"/>
    <w:rsid w:val="005436A6"/>
    <w:rsid w:val="00543C4A"/>
    <w:rsid w:val="00547314"/>
    <w:rsid w:val="00550404"/>
    <w:rsid w:val="00552B3B"/>
    <w:rsid w:val="00556D6F"/>
    <w:rsid w:val="00557121"/>
    <w:rsid w:val="00557FBD"/>
    <w:rsid w:val="0056243C"/>
    <w:rsid w:val="00562BC3"/>
    <w:rsid w:val="00562DFE"/>
    <w:rsid w:val="00563C8F"/>
    <w:rsid w:val="005670C0"/>
    <w:rsid w:val="005678B7"/>
    <w:rsid w:val="005701FD"/>
    <w:rsid w:val="00571F21"/>
    <w:rsid w:val="00573504"/>
    <w:rsid w:val="00574F47"/>
    <w:rsid w:val="005751C1"/>
    <w:rsid w:val="0057572D"/>
    <w:rsid w:val="00575C9B"/>
    <w:rsid w:val="00580478"/>
    <w:rsid w:val="00585B7B"/>
    <w:rsid w:val="00587844"/>
    <w:rsid w:val="00592CC4"/>
    <w:rsid w:val="00597FE5"/>
    <w:rsid w:val="005A0C0C"/>
    <w:rsid w:val="005A2E73"/>
    <w:rsid w:val="005A301D"/>
    <w:rsid w:val="005A3FDF"/>
    <w:rsid w:val="005A4C48"/>
    <w:rsid w:val="005A56FA"/>
    <w:rsid w:val="005A5A74"/>
    <w:rsid w:val="005A7D95"/>
    <w:rsid w:val="005B0474"/>
    <w:rsid w:val="005B0F8B"/>
    <w:rsid w:val="005B1A5E"/>
    <w:rsid w:val="005B2CFC"/>
    <w:rsid w:val="005B405A"/>
    <w:rsid w:val="005B6695"/>
    <w:rsid w:val="005C0275"/>
    <w:rsid w:val="005C11E7"/>
    <w:rsid w:val="005C37E2"/>
    <w:rsid w:val="005C4F3E"/>
    <w:rsid w:val="005C5FF3"/>
    <w:rsid w:val="005D4C76"/>
    <w:rsid w:val="005D4CB0"/>
    <w:rsid w:val="005D4CE2"/>
    <w:rsid w:val="005D5DC2"/>
    <w:rsid w:val="005D6496"/>
    <w:rsid w:val="005D6EA1"/>
    <w:rsid w:val="005D7A67"/>
    <w:rsid w:val="005D7F51"/>
    <w:rsid w:val="005E228C"/>
    <w:rsid w:val="005E4975"/>
    <w:rsid w:val="005F04C5"/>
    <w:rsid w:val="005F204B"/>
    <w:rsid w:val="005F3351"/>
    <w:rsid w:val="005F4672"/>
    <w:rsid w:val="005F6E45"/>
    <w:rsid w:val="005F73C9"/>
    <w:rsid w:val="005F7DFB"/>
    <w:rsid w:val="00600B75"/>
    <w:rsid w:val="00602A8E"/>
    <w:rsid w:val="00611608"/>
    <w:rsid w:val="0061249C"/>
    <w:rsid w:val="006145ED"/>
    <w:rsid w:val="00614FD8"/>
    <w:rsid w:val="006156B0"/>
    <w:rsid w:val="00615B51"/>
    <w:rsid w:val="00615DC3"/>
    <w:rsid w:val="00616B33"/>
    <w:rsid w:val="00623B1E"/>
    <w:rsid w:val="0062443E"/>
    <w:rsid w:val="00624885"/>
    <w:rsid w:val="00627457"/>
    <w:rsid w:val="006301D7"/>
    <w:rsid w:val="00630C57"/>
    <w:rsid w:val="00632672"/>
    <w:rsid w:val="00633FE6"/>
    <w:rsid w:val="00634882"/>
    <w:rsid w:val="006377C4"/>
    <w:rsid w:val="006409C2"/>
    <w:rsid w:val="006410C4"/>
    <w:rsid w:val="006449AF"/>
    <w:rsid w:val="00651740"/>
    <w:rsid w:val="00655EDC"/>
    <w:rsid w:val="006573F5"/>
    <w:rsid w:val="006621A6"/>
    <w:rsid w:val="006648D5"/>
    <w:rsid w:val="006651D8"/>
    <w:rsid w:val="00665561"/>
    <w:rsid w:val="00667CD9"/>
    <w:rsid w:val="00670B47"/>
    <w:rsid w:val="00672ABA"/>
    <w:rsid w:val="0067309B"/>
    <w:rsid w:val="00674AA7"/>
    <w:rsid w:val="00674BAD"/>
    <w:rsid w:val="0067714F"/>
    <w:rsid w:val="00677A52"/>
    <w:rsid w:val="00686898"/>
    <w:rsid w:val="00693224"/>
    <w:rsid w:val="0069737F"/>
    <w:rsid w:val="00697C14"/>
    <w:rsid w:val="006A0BBE"/>
    <w:rsid w:val="006A220F"/>
    <w:rsid w:val="006B1084"/>
    <w:rsid w:val="006B3A67"/>
    <w:rsid w:val="006B3AD9"/>
    <w:rsid w:val="006B492E"/>
    <w:rsid w:val="006B6075"/>
    <w:rsid w:val="006B75BC"/>
    <w:rsid w:val="006B79D3"/>
    <w:rsid w:val="006C0303"/>
    <w:rsid w:val="006C10C5"/>
    <w:rsid w:val="006C2FED"/>
    <w:rsid w:val="006C4755"/>
    <w:rsid w:val="006C65C4"/>
    <w:rsid w:val="006C7232"/>
    <w:rsid w:val="006C7532"/>
    <w:rsid w:val="006D1264"/>
    <w:rsid w:val="006D14D9"/>
    <w:rsid w:val="006D1D73"/>
    <w:rsid w:val="006D45CB"/>
    <w:rsid w:val="006D768F"/>
    <w:rsid w:val="006D7D36"/>
    <w:rsid w:val="006E049B"/>
    <w:rsid w:val="006E07D2"/>
    <w:rsid w:val="006E0F32"/>
    <w:rsid w:val="006E161E"/>
    <w:rsid w:val="006E2598"/>
    <w:rsid w:val="006E4336"/>
    <w:rsid w:val="006E55AE"/>
    <w:rsid w:val="006E7040"/>
    <w:rsid w:val="006E7696"/>
    <w:rsid w:val="006E7D71"/>
    <w:rsid w:val="006F1D22"/>
    <w:rsid w:val="006F34FA"/>
    <w:rsid w:val="006F467E"/>
    <w:rsid w:val="006F629F"/>
    <w:rsid w:val="006F6384"/>
    <w:rsid w:val="0070305D"/>
    <w:rsid w:val="0070598E"/>
    <w:rsid w:val="007059F1"/>
    <w:rsid w:val="00705F5C"/>
    <w:rsid w:val="00706076"/>
    <w:rsid w:val="00706BBF"/>
    <w:rsid w:val="0071035F"/>
    <w:rsid w:val="00711787"/>
    <w:rsid w:val="00712B23"/>
    <w:rsid w:val="00712B2E"/>
    <w:rsid w:val="00714985"/>
    <w:rsid w:val="00714E21"/>
    <w:rsid w:val="00717ABA"/>
    <w:rsid w:val="00717CBA"/>
    <w:rsid w:val="007201D3"/>
    <w:rsid w:val="007214E8"/>
    <w:rsid w:val="00721C67"/>
    <w:rsid w:val="00722A0E"/>
    <w:rsid w:val="0072791B"/>
    <w:rsid w:val="00730DA4"/>
    <w:rsid w:val="00732872"/>
    <w:rsid w:val="00733124"/>
    <w:rsid w:val="007345C4"/>
    <w:rsid w:val="007355FD"/>
    <w:rsid w:val="00736565"/>
    <w:rsid w:val="007368A6"/>
    <w:rsid w:val="0074257E"/>
    <w:rsid w:val="007452B4"/>
    <w:rsid w:val="0075184A"/>
    <w:rsid w:val="00751FCC"/>
    <w:rsid w:val="00752888"/>
    <w:rsid w:val="007574F6"/>
    <w:rsid w:val="00760808"/>
    <w:rsid w:val="00765B15"/>
    <w:rsid w:val="00767390"/>
    <w:rsid w:val="00770B28"/>
    <w:rsid w:val="0077162C"/>
    <w:rsid w:val="00772E89"/>
    <w:rsid w:val="00783956"/>
    <w:rsid w:val="00783978"/>
    <w:rsid w:val="007858FA"/>
    <w:rsid w:val="007864A4"/>
    <w:rsid w:val="00786858"/>
    <w:rsid w:val="00790B64"/>
    <w:rsid w:val="00791B99"/>
    <w:rsid w:val="007939B3"/>
    <w:rsid w:val="007966A8"/>
    <w:rsid w:val="00796F96"/>
    <w:rsid w:val="00797359"/>
    <w:rsid w:val="007A091E"/>
    <w:rsid w:val="007A0B60"/>
    <w:rsid w:val="007A12BA"/>
    <w:rsid w:val="007A34A5"/>
    <w:rsid w:val="007A474D"/>
    <w:rsid w:val="007A75CA"/>
    <w:rsid w:val="007B1481"/>
    <w:rsid w:val="007B3A34"/>
    <w:rsid w:val="007B6584"/>
    <w:rsid w:val="007C0620"/>
    <w:rsid w:val="007C4F2F"/>
    <w:rsid w:val="007C53DD"/>
    <w:rsid w:val="007C7F94"/>
    <w:rsid w:val="007D1715"/>
    <w:rsid w:val="007D1B6D"/>
    <w:rsid w:val="007D294E"/>
    <w:rsid w:val="007D527B"/>
    <w:rsid w:val="007D5358"/>
    <w:rsid w:val="007D66A7"/>
    <w:rsid w:val="007E192B"/>
    <w:rsid w:val="007E4DA8"/>
    <w:rsid w:val="007F147D"/>
    <w:rsid w:val="007F20A5"/>
    <w:rsid w:val="007F3ADC"/>
    <w:rsid w:val="008017D5"/>
    <w:rsid w:val="00801AB6"/>
    <w:rsid w:val="00801EBB"/>
    <w:rsid w:val="00805D9F"/>
    <w:rsid w:val="00810D52"/>
    <w:rsid w:val="008117ED"/>
    <w:rsid w:val="00814139"/>
    <w:rsid w:val="00815DB1"/>
    <w:rsid w:val="00816147"/>
    <w:rsid w:val="00820E58"/>
    <w:rsid w:val="00822151"/>
    <w:rsid w:val="00823D6B"/>
    <w:rsid w:val="0082476D"/>
    <w:rsid w:val="00824A29"/>
    <w:rsid w:val="00826B30"/>
    <w:rsid w:val="00826ECC"/>
    <w:rsid w:val="00831AB9"/>
    <w:rsid w:val="00832A1A"/>
    <w:rsid w:val="008352C9"/>
    <w:rsid w:val="00835CEE"/>
    <w:rsid w:val="0083673E"/>
    <w:rsid w:val="00840CFB"/>
    <w:rsid w:val="00841240"/>
    <w:rsid w:val="00841C5A"/>
    <w:rsid w:val="00841E78"/>
    <w:rsid w:val="00842456"/>
    <w:rsid w:val="00842B89"/>
    <w:rsid w:val="00857F2A"/>
    <w:rsid w:val="00860231"/>
    <w:rsid w:val="00861650"/>
    <w:rsid w:val="008633FA"/>
    <w:rsid w:val="00867FBA"/>
    <w:rsid w:val="00870DAF"/>
    <w:rsid w:val="00871DB4"/>
    <w:rsid w:val="0087226F"/>
    <w:rsid w:val="008756A6"/>
    <w:rsid w:val="00875FFD"/>
    <w:rsid w:val="008777EE"/>
    <w:rsid w:val="00877838"/>
    <w:rsid w:val="00881952"/>
    <w:rsid w:val="00882672"/>
    <w:rsid w:val="00884B4B"/>
    <w:rsid w:val="00887914"/>
    <w:rsid w:val="00891A9A"/>
    <w:rsid w:val="00891C90"/>
    <w:rsid w:val="008940EA"/>
    <w:rsid w:val="00896EFF"/>
    <w:rsid w:val="008A40E5"/>
    <w:rsid w:val="008A4308"/>
    <w:rsid w:val="008A5DE1"/>
    <w:rsid w:val="008B02E2"/>
    <w:rsid w:val="008B2A98"/>
    <w:rsid w:val="008B2DC2"/>
    <w:rsid w:val="008B4D82"/>
    <w:rsid w:val="008B5405"/>
    <w:rsid w:val="008B572D"/>
    <w:rsid w:val="008B67D0"/>
    <w:rsid w:val="008B7B61"/>
    <w:rsid w:val="008C0700"/>
    <w:rsid w:val="008C1B95"/>
    <w:rsid w:val="008C26C6"/>
    <w:rsid w:val="008C3E77"/>
    <w:rsid w:val="008C75D1"/>
    <w:rsid w:val="008C7948"/>
    <w:rsid w:val="008D0BFB"/>
    <w:rsid w:val="008D145F"/>
    <w:rsid w:val="008D3655"/>
    <w:rsid w:val="008D38E0"/>
    <w:rsid w:val="008D38F1"/>
    <w:rsid w:val="008D40F0"/>
    <w:rsid w:val="008D43A0"/>
    <w:rsid w:val="008D62DB"/>
    <w:rsid w:val="008D74BE"/>
    <w:rsid w:val="008D7587"/>
    <w:rsid w:val="008E1893"/>
    <w:rsid w:val="008E279E"/>
    <w:rsid w:val="008E3DCB"/>
    <w:rsid w:val="008E434B"/>
    <w:rsid w:val="008E74F6"/>
    <w:rsid w:val="008F03DD"/>
    <w:rsid w:val="008F37D2"/>
    <w:rsid w:val="008F3FB5"/>
    <w:rsid w:val="008F6367"/>
    <w:rsid w:val="008F68D6"/>
    <w:rsid w:val="008F7DE8"/>
    <w:rsid w:val="008F7ED4"/>
    <w:rsid w:val="009031F2"/>
    <w:rsid w:val="009036FF"/>
    <w:rsid w:val="0090492A"/>
    <w:rsid w:val="009058BE"/>
    <w:rsid w:val="00905B00"/>
    <w:rsid w:val="00906BE2"/>
    <w:rsid w:val="00906E06"/>
    <w:rsid w:val="009102D3"/>
    <w:rsid w:val="00914D12"/>
    <w:rsid w:val="00914F29"/>
    <w:rsid w:val="00915780"/>
    <w:rsid w:val="009229B3"/>
    <w:rsid w:val="00922AE7"/>
    <w:rsid w:val="00926C3E"/>
    <w:rsid w:val="0093227C"/>
    <w:rsid w:val="009324A1"/>
    <w:rsid w:val="00941A33"/>
    <w:rsid w:val="00942A1D"/>
    <w:rsid w:val="0094502F"/>
    <w:rsid w:val="00945BDD"/>
    <w:rsid w:val="00945F9E"/>
    <w:rsid w:val="00946F6D"/>
    <w:rsid w:val="00952088"/>
    <w:rsid w:val="009535BE"/>
    <w:rsid w:val="00955EE7"/>
    <w:rsid w:val="00957012"/>
    <w:rsid w:val="0095715F"/>
    <w:rsid w:val="00960EA4"/>
    <w:rsid w:val="009612E2"/>
    <w:rsid w:val="00961B72"/>
    <w:rsid w:val="00963450"/>
    <w:rsid w:val="0097228E"/>
    <w:rsid w:val="0097379C"/>
    <w:rsid w:val="009767EE"/>
    <w:rsid w:val="00981ADD"/>
    <w:rsid w:val="00982B6A"/>
    <w:rsid w:val="00984DD2"/>
    <w:rsid w:val="00985E6E"/>
    <w:rsid w:val="00987B3F"/>
    <w:rsid w:val="00987C7C"/>
    <w:rsid w:val="00987F9E"/>
    <w:rsid w:val="00993FC1"/>
    <w:rsid w:val="009952EC"/>
    <w:rsid w:val="00995852"/>
    <w:rsid w:val="0099659D"/>
    <w:rsid w:val="00996DAC"/>
    <w:rsid w:val="00997227"/>
    <w:rsid w:val="00997838"/>
    <w:rsid w:val="009A0461"/>
    <w:rsid w:val="009A049F"/>
    <w:rsid w:val="009A2E7A"/>
    <w:rsid w:val="009A37A3"/>
    <w:rsid w:val="009A389B"/>
    <w:rsid w:val="009A6C99"/>
    <w:rsid w:val="009B03BB"/>
    <w:rsid w:val="009B3D09"/>
    <w:rsid w:val="009B5347"/>
    <w:rsid w:val="009B6831"/>
    <w:rsid w:val="009B705B"/>
    <w:rsid w:val="009B773F"/>
    <w:rsid w:val="009C4ADF"/>
    <w:rsid w:val="009D3076"/>
    <w:rsid w:val="009D4575"/>
    <w:rsid w:val="009D4EA0"/>
    <w:rsid w:val="009D6184"/>
    <w:rsid w:val="009E0925"/>
    <w:rsid w:val="009E2D7A"/>
    <w:rsid w:val="009E4DCC"/>
    <w:rsid w:val="009E5349"/>
    <w:rsid w:val="009E7BDA"/>
    <w:rsid w:val="009E7E67"/>
    <w:rsid w:val="009E7EE3"/>
    <w:rsid w:val="009F0C2B"/>
    <w:rsid w:val="009F7D25"/>
    <w:rsid w:val="00A0076A"/>
    <w:rsid w:val="00A018EE"/>
    <w:rsid w:val="00A019AF"/>
    <w:rsid w:val="00A0355F"/>
    <w:rsid w:val="00A035E5"/>
    <w:rsid w:val="00A05CF9"/>
    <w:rsid w:val="00A06C5E"/>
    <w:rsid w:val="00A10F03"/>
    <w:rsid w:val="00A12EEC"/>
    <w:rsid w:val="00A13DA8"/>
    <w:rsid w:val="00A13F85"/>
    <w:rsid w:val="00A14C1E"/>
    <w:rsid w:val="00A153ED"/>
    <w:rsid w:val="00A21DE0"/>
    <w:rsid w:val="00A23C57"/>
    <w:rsid w:val="00A3005A"/>
    <w:rsid w:val="00A309DB"/>
    <w:rsid w:val="00A32AD4"/>
    <w:rsid w:val="00A34B0E"/>
    <w:rsid w:val="00A42748"/>
    <w:rsid w:val="00A4375D"/>
    <w:rsid w:val="00A451D0"/>
    <w:rsid w:val="00A46FCB"/>
    <w:rsid w:val="00A46FFF"/>
    <w:rsid w:val="00A47F4E"/>
    <w:rsid w:val="00A50A36"/>
    <w:rsid w:val="00A53409"/>
    <w:rsid w:val="00A637FC"/>
    <w:rsid w:val="00A644D2"/>
    <w:rsid w:val="00A65C28"/>
    <w:rsid w:val="00A67F0B"/>
    <w:rsid w:val="00A70807"/>
    <w:rsid w:val="00A70D95"/>
    <w:rsid w:val="00A721A0"/>
    <w:rsid w:val="00A802A5"/>
    <w:rsid w:val="00A803DE"/>
    <w:rsid w:val="00A80663"/>
    <w:rsid w:val="00A838C8"/>
    <w:rsid w:val="00A84EC5"/>
    <w:rsid w:val="00A87AC7"/>
    <w:rsid w:val="00A900DE"/>
    <w:rsid w:val="00A919EF"/>
    <w:rsid w:val="00A91D66"/>
    <w:rsid w:val="00A91FA8"/>
    <w:rsid w:val="00A9241F"/>
    <w:rsid w:val="00A93059"/>
    <w:rsid w:val="00A937B8"/>
    <w:rsid w:val="00AA42D4"/>
    <w:rsid w:val="00AB1A8C"/>
    <w:rsid w:val="00AB3EBA"/>
    <w:rsid w:val="00AB4A41"/>
    <w:rsid w:val="00AC0190"/>
    <w:rsid w:val="00AC116D"/>
    <w:rsid w:val="00AC24A6"/>
    <w:rsid w:val="00AC412C"/>
    <w:rsid w:val="00AC502A"/>
    <w:rsid w:val="00AD2D49"/>
    <w:rsid w:val="00AD36C2"/>
    <w:rsid w:val="00AD400B"/>
    <w:rsid w:val="00AE05A1"/>
    <w:rsid w:val="00AE0D7C"/>
    <w:rsid w:val="00AE21C1"/>
    <w:rsid w:val="00AE7E49"/>
    <w:rsid w:val="00AF1BAA"/>
    <w:rsid w:val="00AF1CEC"/>
    <w:rsid w:val="00AF2CF8"/>
    <w:rsid w:val="00AF598B"/>
    <w:rsid w:val="00AF7581"/>
    <w:rsid w:val="00AF7879"/>
    <w:rsid w:val="00B02FAC"/>
    <w:rsid w:val="00B0387A"/>
    <w:rsid w:val="00B10602"/>
    <w:rsid w:val="00B1143B"/>
    <w:rsid w:val="00B152D1"/>
    <w:rsid w:val="00B2177E"/>
    <w:rsid w:val="00B217AC"/>
    <w:rsid w:val="00B21FA0"/>
    <w:rsid w:val="00B2237C"/>
    <w:rsid w:val="00B22F98"/>
    <w:rsid w:val="00B270BC"/>
    <w:rsid w:val="00B300EC"/>
    <w:rsid w:val="00B31287"/>
    <w:rsid w:val="00B3326D"/>
    <w:rsid w:val="00B362CA"/>
    <w:rsid w:val="00B426F3"/>
    <w:rsid w:val="00B42918"/>
    <w:rsid w:val="00B42CD6"/>
    <w:rsid w:val="00B46463"/>
    <w:rsid w:val="00B46E28"/>
    <w:rsid w:val="00B506C2"/>
    <w:rsid w:val="00B51C26"/>
    <w:rsid w:val="00B53E93"/>
    <w:rsid w:val="00B54F0E"/>
    <w:rsid w:val="00B559D6"/>
    <w:rsid w:val="00B56FCA"/>
    <w:rsid w:val="00B57645"/>
    <w:rsid w:val="00B578DB"/>
    <w:rsid w:val="00B603D2"/>
    <w:rsid w:val="00B60D45"/>
    <w:rsid w:val="00B644B2"/>
    <w:rsid w:val="00B64927"/>
    <w:rsid w:val="00B6569F"/>
    <w:rsid w:val="00B6756C"/>
    <w:rsid w:val="00B71A34"/>
    <w:rsid w:val="00B71B57"/>
    <w:rsid w:val="00B72994"/>
    <w:rsid w:val="00B735F7"/>
    <w:rsid w:val="00B74C1A"/>
    <w:rsid w:val="00B75D64"/>
    <w:rsid w:val="00B80E68"/>
    <w:rsid w:val="00B81552"/>
    <w:rsid w:val="00B833C8"/>
    <w:rsid w:val="00B83CF9"/>
    <w:rsid w:val="00B85A8E"/>
    <w:rsid w:val="00B87A0C"/>
    <w:rsid w:val="00B94BD8"/>
    <w:rsid w:val="00BA4456"/>
    <w:rsid w:val="00BA4487"/>
    <w:rsid w:val="00BA509C"/>
    <w:rsid w:val="00BA76B7"/>
    <w:rsid w:val="00BA7F99"/>
    <w:rsid w:val="00BB1DB9"/>
    <w:rsid w:val="00BB2030"/>
    <w:rsid w:val="00BB3BB5"/>
    <w:rsid w:val="00BB3F1D"/>
    <w:rsid w:val="00BB60A2"/>
    <w:rsid w:val="00BB68A1"/>
    <w:rsid w:val="00BB743D"/>
    <w:rsid w:val="00BB78DD"/>
    <w:rsid w:val="00BC5C3B"/>
    <w:rsid w:val="00BC63F9"/>
    <w:rsid w:val="00BD204B"/>
    <w:rsid w:val="00BD38F8"/>
    <w:rsid w:val="00BD50C6"/>
    <w:rsid w:val="00BD659F"/>
    <w:rsid w:val="00BE0AB8"/>
    <w:rsid w:val="00BE1CBE"/>
    <w:rsid w:val="00BE3D7C"/>
    <w:rsid w:val="00BE566F"/>
    <w:rsid w:val="00BE5876"/>
    <w:rsid w:val="00BE5FE2"/>
    <w:rsid w:val="00BF0F48"/>
    <w:rsid w:val="00BF3497"/>
    <w:rsid w:val="00BF3B2D"/>
    <w:rsid w:val="00BF52B8"/>
    <w:rsid w:val="00BF5F55"/>
    <w:rsid w:val="00BF6FEF"/>
    <w:rsid w:val="00C03922"/>
    <w:rsid w:val="00C03E84"/>
    <w:rsid w:val="00C058B7"/>
    <w:rsid w:val="00C07FFD"/>
    <w:rsid w:val="00C10DF0"/>
    <w:rsid w:val="00C114C5"/>
    <w:rsid w:val="00C123BD"/>
    <w:rsid w:val="00C12493"/>
    <w:rsid w:val="00C144F4"/>
    <w:rsid w:val="00C17ED7"/>
    <w:rsid w:val="00C20EB1"/>
    <w:rsid w:val="00C2133E"/>
    <w:rsid w:val="00C2187A"/>
    <w:rsid w:val="00C21B96"/>
    <w:rsid w:val="00C230D8"/>
    <w:rsid w:val="00C2328D"/>
    <w:rsid w:val="00C235E9"/>
    <w:rsid w:val="00C23F8E"/>
    <w:rsid w:val="00C24F46"/>
    <w:rsid w:val="00C25BC7"/>
    <w:rsid w:val="00C25CB1"/>
    <w:rsid w:val="00C2695F"/>
    <w:rsid w:val="00C276EB"/>
    <w:rsid w:val="00C318B0"/>
    <w:rsid w:val="00C32994"/>
    <w:rsid w:val="00C32A3E"/>
    <w:rsid w:val="00C342F6"/>
    <w:rsid w:val="00C348F0"/>
    <w:rsid w:val="00C349E1"/>
    <w:rsid w:val="00C36605"/>
    <w:rsid w:val="00C41034"/>
    <w:rsid w:val="00C4582E"/>
    <w:rsid w:val="00C4728A"/>
    <w:rsid w:val="00C51022"/>
    <w:rsid w:val="00C526E2"/>
    <w:rsid w:val="00C52B5B"/>
    <w:rsid w:val="00C53850"/>
    <w:rsid w:val="00C53A82"/>
    <w:rsid w:val="00C53F5C"/>
    <w:rsid w:val="00C54FC3"/>
    <w:rsid w:val="00C63C9B"/>
    <w:rsid w:val="00C669E6"/>
    <w:rsid w:val="00C732A8"/>
    <w:rsid w:val="00C75073"/>
    <w:rsid w:val="00C80CB4"/>
    <w:rsid w:val="00C80E39"/>
    <w:rsid w:val="00C831C5"/>
    <w:rsid w:val="00C83EBB"/>
    <w:rsid w:val="00C846DB"/>
    <w:rsid w:val="00C85B9A"/>
    <w:rsid w:val="00C91AE9"/>
    <w:rsid w:val="00C93CA3"/>
    <w:rsid w:val="00C94479"/>
    <w:rsid w:val="00CA0684"/>
    <w:rsid w:val="00CA0F8E"/>
    <w:rsid w:val="00CA2A69"/>
    <w:rsid w:val="00CA32A0"/>
    <w:rsid w:val="00CA4289"/>
    <w:rsid w:val="00CA7C00"/>
    <w:rsid w:val="00CA7C4F"/>
    <w:rsid w:val="00CB77A9"/>
    <w:rsid w:val="00CC42DB"/>
    <w:rsid w:val="00CC4865"/>
    <w:rsid w:val="00CD133C"/>
    <w:rsid w:val="00CD2769"/>
    <w:rsid w:val="00CD2C6D"/>
    <w:rsid w:val="00CD3062"/>
    <w:rsid w:val="00CD55A0"/>
    <w:rsid w:val="00CD6E07"/>
    <w:rsid w:val="00CD7A86"/>
    <w:rsid w:val="00CE1482"/>
    <w:rsid w:val="00CE6CF5"/>
    <w:rsid w:val="00CF02A7"/>
    <w:rsid w:val="00CF0323"/>
    <w:rsid w:val="00CF0E6C"/>
    <w:rsid w:val="00CF4797"/>
    <w:rsid w:val="00CF4929"/>
    <w:rsid w:val="00D000B1"/>
    <w:rsid w:val="00D005FA"/>
    <w:rsid w:val="00D02884"/>
    <w:rsid w:val="00D02C76"/>
    <w:rsid w:val="00D033EA"/>
    <w:rsid w:val="00D046FB"/>
    <w:rsid w:val="00D048E5"/>
    <w:rsid w:val="00D0598B"/>
    <w:rsid w:val="00D126AB"/>
    <w:rsid w:val="00D12CDB"/>
    <w:rsid w:val="00D134FF"/>
    <w:rsid w:val="00D16111"/>
    <w:rsid w:val="00D164DF"/>
    <w:rsid w:val="00D16F2D"/>
    <w:rsid w:val="00D17BBD"/>
    <w:rsid w:val="00D211F6"/>
    <w:rsid w:val="00D21A1C"/>
    <w:rsid w:val="00D242AB"/>
    <w:rsid w:val="00D2537D"/>
    <w:rsid w:val="00D273D1"/>
    <w:rsid w:val="00D3405B"/>
    <w:rsid w:val="00D3605C"/>
    <w:rsid w:val="00D368AE"/>
    <w:rsid w:val="00D368F9"/>
    <w:rsid w:val="00D379A1"/>
    <w:rsid w:val="00D40030"/>
    <w:rsid w:val="00D42D3F"/>
    <w:rsid w:val="00D46AC2"/>
    <w:rsid w:val="00D46F51"/>
    <w:rsid w:val="00D5371B"/>
    <w:rsid w:val="00D54CFB"/>
    <w:rsid w:val="00D57063"/>
    <w:rsid w:val="00D62A73"/>
    <w:rsid w:val="00D658C5"/>
    <w:rsid w:val="00D660FF"/>
    <w:rsid w:val="00D73160"/>
    <w:rsid w:val="00D74BFD"/>
    <w:rsid w:val="00D7572F"/>
    <w:rsid w:val="00D84C19"/>
    <w:rsid w:val="00D85062"/>
    <w:rsid w:val="00D8663A"/>
    <w:rsid w:val="00D86DFB"/>
    <w:rsid w:val="00D8755C"/>
    <w:rsid w:val="00D92193"/>
    <w:rsid w:val="00D94246"/>
    <w:rsid w:val="00DA075F"/>
    <w:rsid w:val="00DA3B45"/>
    <w:rsid w:val="00DA78C7"/>
    <w:rsid w:val="00DB0A0A"/>
    <w:rsid w:val="00DB11EA"/>
    <w:rsid w:val="00DB4F1A"/>
    <w:rsid w:val="00DB50AE"/>
    <w:rsid w:val="00DC1631"/>
    <w:rsid w:val="00DC30DF"/>
    <w:rsid w:val="00DC4D99"/>
    <w:rsid w:val="00DC5AD2"/>
    <w:rsid w:val="00DD10DA"/>
    <w:rsid w:val="00DD2411"/>
    <w:rsid w:val="00DD2C4A"/>
    <w:rsid w:val="00DD32B4"/>
    <w:rsid w:val="00DD3309"/>
    <w:rsid w:val="00DD3446"/>
    <w:rsid w:val="00DD370E"/>
    <w:rsid w:val="00DD4F27"/>
    <w:rsid w:val="00DE0D56"/>
    <w:rsid w:val="00DE3041"/>
    <w:rsid w:val="00DE6262"/>
    <w:rsid w:val="00DE62D1"/>
    <w:rsid w:val="00DE6546"/>
    <w:rsid w:val="00DF09A6"/>
    <w:rsid w:val="00DF09DE"/>
    <w:rsid w:val="00DF0F70"/>
    <w:rsid w:val="00DF3570"/>
    <w:rsid w:val="00DF48F9"/>
    <w:rsid w:val="00DF522C"/>
    <w:rsid w:val="00DF5337"/>
    <w:rsid w:val="00DF5BC7"/>
    <w:rsid w:val="00E00805"/>
    <w:rsid w:val="00E01220"/>
    <w:rsid w:val="00E0358E"/>
    <w:rsid w:val="00E03DE6"/>
    <w:rsid w:val="00E050E8"/>
    <w:rsid w:val="00E058A3"/>
    <w:rsid w:val="00E05C43"/>
    <w:rsid w:val="00E067F7"/>
    <w:rsid w:val="00E07F11"/>
    <w:rsid w:val="00E12D90"/>
    <w:rsid w:val="00E155F7"/>
    <w:rsid w:val="00E1613B"/>
    <w:rsid w:val="00E16DE9"/>
    <w:rsid w:val="00E20C2B"/>
    <w:rsid w:val="00E21BE7"/>
    <w:rsid w:val="00E21C42"/>
    <w:rsid w:val="00E242A4"/>
    <w:rsid w:val="00E24ADF"/>
    <w:rsid w:val="00E252F0"/>
    <w:rsid w:val="00E2634E"/>
    <w:rsid w:val="00E2703D"/>
    <w:rsid w:val="00E27FEB"/>
    <w:rsid w:val="00E3096E"/>
    <w:rsid w:val="00E32D4C"/>
    <w:rsid w:val="00E34638"/>
    <w:rsid w:val="00E36440"/>
    <w:rsid w:val="00E36AA2"/>
    <w:rsid w:val="00E41277"/>
    <w:rsid w:val="00E41766"/>
    <w:rsid w:val="00E51305"/>
    <w:rsid w:val="00E54789"/>
    <w:rsid w:val="00E54F7B"/>
    <w:rsid w:val="00E570F3"/>
    <w:rsid w:val="00E57D39"/>
    <w:rsid w:val="00E60E9B"/>
    <w:rsid w:val="00E61DFA"/>
    <w:rsid w:val="00E62BE0"/>
    <w:rsid w:val="00E62F27"/>
    <w:rsid w:val="00E6536B"/>
    <w:rsid w:val="00E70938"/>
    <w:rsid w:val="00E72840"/>
    <w:rsid w:val="00E7360A"/>
    <w:rsid w:val="00E74246"/>
    <w:rsid w:val="00E774C8"/>
    <w:rsid w:val="00E82E75"/>
    <w:rsid w:val="00E84E23"/>
    <w:rsid w:val="00E91199"/>
    <w:rsid w:val="00E9233E"/>
    <w:rsid w:val="00E93CD0"/>
    <w:rsid w:val="00E9458F"/>
    <w:rsid w:val="00E97615"/>
    <w:rsid w:val="00E9796C"/>
    <w:rsid w:val="00E97DAE"/>
    <w:rsid w:val="00EA459C"/>
    <w:rsid w:val="00EA5EDA"/>
    <w:rsid w:val="00EA6474"/>
    <w:rsid w:val="00EA6B00"/>
    <w:rsid w:val="00EA6D93"/>
    <w:rsid w:val="00EB14C5"/>
    <w:rsid w:val="00EB5CE9"/>
    <w:rsid w:val="00EC07DF"/>
    <w:rsid w:val="00EC0E95"/>
    <w:rsid w:val="00EC2253"/>
    <w:rsid w:val="00EC3CB2"/>
    <w:rsid w:val="00EC5BFC"/>
    <w:rsid w:val="00EC71FE"/>
    <w:rsid w:val="00EC7914"/>
    <w:rsid w:val="00ED06A2"/>
    <w:rsid w:val="00ED0D35"/>
    <w:rsid w:val="00ED1030"/>
    <w:rsid w:val="00ED1073"/>
    <w:rsid w:val="00ED37BB"/>
    <w:rsid w:val="00ED49EE"/>
    <w:rsid w:val="00ED5717"/>
    <w:rsid w:val="00ED746F"/>
    <w:rsid w:val="00EE0A6C"/>
    <w:rsid w:val="00EE6144"/>
    <w:rsid w:val="00EE702C"/>
    <w:rsid w:val="00EF0F86"/>
    <w:rsid w:val="00EF387A"/>
    <w:rsid w:val="00EF462D"/>
    <w:rsid w:val="00EF6F4C"/>
    <w:rsid w:val="00F00AC7"/>
    <w:rsid w:val="00F01CB5"/>
    <w:rsid w:val="00F066E2"/>
    <w:rsid w:val="00F06CAD"/>
    <w:rsid w:val="00F07904"/>
    <w:rsid w:val="00F10AEA"/>
    <w:rsid w:val="00F128C2"/>
    <w:rsid w:val="00F13C42"/>
    <w:rsid w:val="00F14665"/>
    <w:rsid w:val="00F16ACD"/>
    <w:rsid w:val="00F1763E"/>
    <w:rsid w:val="00F17F6B"/>
    <w:rsid w:val="00F2128F"/>
    <w:rsid w:val="00F222CD"/>
    <w:rsid w:val="00F2254B"/>
    <w:rsid w:val="00F26FC0"/>
    <w:rsid w:val="00F27E4A"/>
    <w:rsid w:val="00F40085"/>
    <w:rsid w:val="00F40F61"/>
    <w:rsid w:val="00F41565"/>
    <w:rsid w:val="00F47847"/>
    <w:rsid w:val="00F55545"/>
    <w:rsid w:val="00F55786"/>
    <w:rsid w:val="00F55993"/>
    <w:rsid w:val="00F5615F"/>
    <w:rsid w:val="00F56553"/>
    <w:rsid w:val="00F577DF"/>
    <w:rsid w:val="00F6332D"/>
    <w:rsid w:val="00F63656"/>
    <w:rsid w:val="00F6529A"/>
    <w:rsid w:val="00F679B2"/>
    <w:rsid w:val="00F74335"/>
    <w:rsid w:val="00F775D0"/>
    <w:rsid w:val="00F77957"/>
    <w:rsid w:val="00F82218"/>
    <w:rsid w:val="00F83BBF"/>
    <w:rsid w:val="00F84502"/>
    <w:rsid w:val="00F97267"/>
    <w:rsid w:val="00F9769B"/>
    <w:rsid w:val="00FA0D25"/>
    <w:rsid w:val="00FA0E06"/>
    <w:rsid w:val="00FA0F5C"/>
    <w:rsid w:val="00FA1380"/>
    <w:rsid w:val="00FA1FB0"/>
    <w:rsid w:val="00FA234A"/>
    <w:rsid w:val="00FA4780"/>
    <w:rsid w:val="00FA4BE0"/>
    <w:rsid w:val="00FA5F39"/>
    <w:rsid w:val="00FA6ECA"/>
    <w:rsid w:val="00FA7438"/>
    <w:rsid w:val="00FA781A"/>
    <w:rsid w:val="00FA7E7A"/>
    <w:rsid w:val="00FB0CC0"/>
    <w:rsid w:val="00FB0D2C"/>
    <w:rsid w:val="00FB12C8"/>
    <w:rsid w:val="00FB4E2F"/>
    <w:rsid w:val="00FB5B18"/>
    <w:rsid w:val="00FB75AE"/>
    <w:rsid w:val="00FC238A"/>
    <w:rsid w:val="00FC5995"/>
    <w:rsid w:val="00FC626D"/>
    <w:rsid w:val="00FC6EAA"/>
    <w:rsid w:val="00FC7D1B"/>
    <w:rsid w:val="00FD0F6A"/>
    <w:rsid w:val="00FD1328"/>
    <w:rsid w:val="00FD1FDB"/>
    <w:rsid w:val="00FD26B9"/>
    <w:rsid w:val="00FD3FB8"/>
    <w:rsid w:val="00FE0959"/>
    <w:rsid w:val="00FE141B"/>
    <w:rsid w:val="00FE2D49"/>
    <w:rsid w:val="00FE52FF"/>
    <w:rsid w:val="00FE61AF"/>
    <w:rsid w:val="00FE7230"/>
    <w:rsid w:val="00FF043C"/>
    <w:rsid w:val="00FF1713"/>
    <w:rsid w:val="00FF46A5"/>
    <w:rsid w:val="00FF4A64"/>
    <w:rsid w:val="00FF5FA8"/>
    <w:rsid w:val="00FF72E6"/>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A0D25"/>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44335"/>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5A3FDF"/>
    <w:pPr>
      <w:tabs>
        <w:tab w:val="center" w:pos="4153"/>
        <w:tab w:val="right" w:pos="8306"/>
      </w:tabs>
      <w:snapToGrid w:val="0"/>
    </w:pPr>
    <w:rPr>
      <w:sz w:val="20"/>
      <w:szCs w:val="20"/>
    </w:rPr>
  </w:style>
  <w:style w:type="character" w:styleId="a6">
    <w:name w:val="page number"/>
    <w:basedOn w:val="a0"/>
    <w:rsid w:val="005A3FDF"/>
  </w:style>
  <w:style w:type="paragraph" w:styleId="a7">
    <w:name w:val="Balloon Text"/>
    <w:basedOn w:val="a"/>
    <w:link w:val="a8"/>
    <w:rsid w:val="0056243C"/>
    <w:rPr>
      <w:rFonts w:ascii="Cambria" w:hAnsi="Cambria"/>
      <w:sz w:val="18"/>
      <w:szCs w:val="18"/>
    </w:rPr>
  </w:style>
  <w:style w:type="character" w:customStyle="1" w:styleId="a8">
    <w:name w:val="註解方塊文字 字元"/>
    <w:link w:val="a7"/>
    <w:rsid w:val="0056243C"/>
    <w:rPr>
      <w:rFonts w:ascii="Cambria" w:eastAsia="新細明體" w:hAnsi="Cambria" w:cs="Times New Roman"/>
      <w:kern w:val="2"/>
      <w:sz w:val="18"/>
      <w:szCs w:val="18"/>
    </w:rPr>
  </w:style>
  <w:style w:type="paragraph" w:styleId="a9">
    <w:name w:val="header"/>
    <w:basedOn w:val="a"/>
    <w:link w:val="aa"/>
    <w:rsid w:val="001E3FBE"/>
    <w:pPr>
      <w:tabs>
        <w:tab w:val="center" w:pos="4153"/>
        <w:tab w:val="right" w:pos="8306"/>
      </w:tabs>
      <w:snapToGrid w:val="0"/>
    </w:pPr>
    <w:rPr>
      <w:sz w:val="20"/>
      <w:szCs w:val="20"/>
    </w:rPr>
  </w:style>
  <w:style w:type="character" w:customStyle="1" w:styleId="aa">
    <w:name w:val="頁首 字元"/>
    <w:link w:val="a9"/>
    <w:rsid w:val="001E3FBE"/>
    <w:rPr>
      <w:kern w:val="2"/>
    </w:rPr>
  </w:style>
  <w:style w:type="paragraph" w:customStyle="1" w:styleId="ab">
    <w:name w:val="公文(後續段落)"/>
    <w:basedOn w:val="a"/>
    <w:rsid w:val="008D62DB"/>
    <w:pPr>
      <w:spacing w:line="500" w:lineRule="exact"/>
      <w:ind w:left="317"/>
    </w:pPr>
    <w:rPr>
      <w:rFonts w:eastAsia="標楷體"/>
      <w:sz w:val="32"/>
    </w:rPr>
  </w:style>
  <w:style w:type="paragraph" w:styleId="HTML">
    <w:name w:val="HTML Preformatted"/>
    <w:basedOn w:val="a"/>
    <w:link w:val="HTML0"/>
    <w:rsid w:val="00CF032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kern w:val="0"/>
    </w:rPr>
  </w:style>
  <w:style w:type="character" w:customStyle="1" w:styleId="HTML0">
    <w:name w:val="HTML 預設格式 字元"/>
    <w:link w:val="HTML"/>
    <w:rsid w:val="00CF0323"/>
    <w:rPr>
      <w:rFonts w:ascii="細明體" w:eastAsia="細明體" w:hAnsi="細明體"/>
      <w:sz w:val="24"/>
      <w:szCs w:val="24"/>
    </w:rPr>
  </w:style>
  <w:style w:type="character" w:customStyle="1" w:styleId="a5">
    <w:name w:val="頁尾 字元"/>
    <w:link w:val="a4"/>
    <w:uiPriority w:val="99"/>
    <w:rsid w:val="00824A29"/>
    <w:rPr>
      <w:kern w:val="2"/>
    </w:rPr>
  </w:style>
  <w:style w:type="paragraph" w:styleId="ac">
    <w:name w:val="List Paragraph"/>
    <w:basedOn w:val="a"/>
    <w:uiPriority w:val="34"/>
    <w:qFormat/>
    <w:rsid w:val="00055A35"/>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A0D25"/>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44335"/>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5A3FDF"/>
    <w:pPr>
      <w:tabs>
        <w:tab w:val="center" w:pos="4153"/>
        <w:tab w:val="right" w:pos="8306"/>
      </w:tabs>
      <w:snapToGrid w:val="0"/>
    </w:pPr>
    <w:rPr>
      <w:sz w:val="20"/>
      <w:szCs w:val="20"/>
    </w:rPr>
  </w:style>
  <w:style w:type="character" w:styleId="a6">
    <w:name w:val="page number"/>
    <w:basedOn w:val="a0"/>
    <w:rsid w:val="005A3FDF"/>
  </w:style>
  <w:style w:type="paragraph" w:styleId="a7">
    <w:name w:val="Balloon Text"/>
    <w:basedOn w:val="a"/>
    <w:link w:val="a8"/>
    <w:rsid w:val="0056243C"/>
    <w:rPr>
      <w:rFonts w:ascii="Cambria" w:hAnsi="Cambria"/>
      <w:sz w:val="18"/>
      <w:szCs w:val="18"/>
    </w:rPr>
  </w:style>
  <w:style w:type="character" w:customStyle="1" w:styleId="a8">
    <w:name w:val="註解方塊文字 字元"/>
    <w:link w:val="a7"/>
    <w:rsid w:val="0056243C"/>
    <w:rPr>
      <w:rFonts w:ascii="Cambria" w:eastAsia="新細明體" w:hAnsi="Cambria" w:cs="Times New Roman"/>
      <w:kern w:val="2"/>
      <w:sz w:val="18"/>
      <w:szCs w:val="18"/>
    </w:rPr>
  </w:style>
  <w:style w:type="paragraph" w:styleId="a9">
    <w:name w:val="header"/>
    <w:basedOn w:val="a"/>
    <w:link w:val="aa"/>
    <w:rsid w:val="001E3FBE"/>
    <w:pPr>
      <w:tabs>
        <w:tab w:val="center" w:pos="4153"/>
        <w:tab w:val="right" w:pos="8306"/>
      </w:tabs>
      <w:snapToGrid w:val="0"/>
    </w:pPr>
    <w:rPr>
      <w:sz w:val="20"/>
      <w:szCs w:val="20"/>
    </w:rPr>
  </w:style>
  <w:style w:type="character" w:customStyle="1" w:styleId="aa">
    <w:name w:val="頁首 字元"/>
    <w:link w:val="a9"/>
    <w:rsid w:val="001E3FBE"/>
    <w:rPr>
      <w:kern w:val="2"/>
    </w:rPr>
  </w:style>
  <w:style w:type="paragraph" w:customStyle="1" w:styleId="ab">
    <w:name w:val="公文(後續段落)"/>
    <w:basedOn w:val="a"/>
    <w:rsid w:val="008D62DB"/>
    <w:pPr>
      <w:spacing w:line="500" w:lineRule="exact"/>
      <w:ind w:left="317"/>
    </w:pPr>
    <w:rPr>
      <w:rFonts w:eastAsia="標楷體"/>
      <w:sz w:val="32"/>
    </w:rPr>
  </w:style>
  <w:style w:type="paragraph" w:styleId="HTML">
    <w:name w:val="HTML Preformatted"/>
    <w:basedOn w:val="a"/>
    <w:link w:val="HTML0"/>
    <w:rsid w:val="00CF032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kern w:val="0"/>
    </w:rPr>
  </w:style>
  <w:style w:type="character" w:customStyle="1" w:styleId="HTML0">
    <w:name w:val="HTML 預設格式 字元"/>
    <w:link w:val="HTML"/>
    <w:rsid w:val="00CF0323"/>
    <w:rPr>
      <w:rFonts w:ascii="細明體" w:eastAsia="細明體" w:hAnsi="細明體"/>
      <w:sz w:val="24"/>
      <w:szCs w:val="24"/>
    </w:rPr>
  </w:style>
  <w:style w:type="character" w:customStyle="1" w:styleId="a5">
    <w:name w:val="頁尾 字元"/>
    <w:link w:val="a4"/>
    <w:uiPriority w:val="99"/>
    <w:rsid w:val="00824A29"/>
    <w:rPr>
      <w:kern w:val="2"/>
    </w:rPr>
  </w:style>
  <w:style w:type="paragraph" w:styleId="ac">
    <w:name w:val="List Paragraph"/>
    <w:basedOn w:val="a"/>
    <w:uiPriority w:val="34"/>
    <w:qFormat/>
    <w:rsid w:val="00055A35"/>
    <w:pPr>
      <w:ind w:leftChars="200" w:left="480"/>
    </w:pPr>
  </w:style>
</w:styles>
</file>

<file path=word/webSettings.xml><?xml version="1.0" encoding="utf-8"?>
<w:webSettings xmlns:r="http://schemas.openxmlformats.org/officeDocument/2006/relationships" xmlns:w="http://schemas.openxmlformats.org/wordprocessingml/2006/main">
  <w:divs>
    <w:div w:id="184441088">
      <w:bodyDiv w:val="1"/>
      <w:marLeft w:val="0"/>
      <w:marRight w:val="0"/>
      <w:marTop w:val="0"/>
      <w:marBottom w:val="0"/>
      <w:divBdr>
        <w:top w:val="none" w:sz="0" w:space="0" w:color="auto"/>
        <w:left w:val="none" w:sz="0" w:space="0" w:color="auto"/>
        <w:bottom w:val="none" w:sz="0" w:space="0" w:color="auto"/>
        <w:right w:val="none" w:sz="0" w:space="0" w:color="auto"/>
      </w:divBdr>
    </w:div>
    <w:div w:id="1347051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63AF81-1A09-493E-90EC-C0C1AA273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917</Words>
  <Characters>5230</Characters>
  <Application>Microsoft Office Word</Application>
  <DocSecurity>0</DocSecurity>
  <Lines>43</Lines>
  <Paragraphs>12</Paragraphs>
  <ScaleCrop>false</ScaleCrop>
  <Company/>
  <LinksUpToDate>false</LinksUpToDate>
  <CharactersWithSpaces>6135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銀行辦理衍生性金融商品自律規範</dc:title>
  <dc:creator>acer</dc:creator>
  <cp:lastModifiedBy>acer</cp:lastModifiedBy>
  <cp:revision>4</cp:revision>
  <cp:lastPrinted>2016-02-24T06:10:00Z</cp:lastPrinted>
  <dcterms:created xsi:type="dcterms:W3CDTF">2016-02-24T06:54:00Z</dcterms:created>
  <dcterms:modified xsi:type="dcterms:W3CDTF">2016-03-01T03:17:00Z</dcterms:modified>
</cp:coreProperties>
</file>