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A61" w:rsidRDefault="003F2CBB" w:rsidP="0073225E">
      <w:pPr>
        <w:pStyle w:val="a9"/>
        <w:spacing w:afterLines="50" w:line="540" w:lineRule="exact"/>
        <w:ind w:leftChars="0" w:left="320" w:hanging="320"/>
        <w:jc w:val="center"/>
        <w:rPr>
          <w:rFonts w:ascii="標楷體"/>
          <w:b/>
          <w:sz w:val="32"/>
          <w:u w:val="none"/>
        </w:rPr>
      </w:pPr>
      <w:r w:rsidRPr="003F2CBB">
        <w:rPr>
          <w:rFonts w:ascii="標楷體" w:hint="eastAsia"/>
          <w:b/>
          <w:sz w:val="32"/>
          <w:u w:val="none"/>
        </w:rPr>
        <w:t>中華民國銀行公會會員</w:t>
      </w:r>
      <w:r w:rsidR="007C1AC8">
        <w:rPr>
          <w:rFonts w:ascii="標楷體" w:hint="eastAsia"/>
          <w:b/>
          <w:sz w:val="32"/>
          <w:u w:val="none"/>
        </w:rPr>
        <w:t>授</w:t>
      </w:r>
      <w:r w:rsidRPr="003F2CBB">
        <w:rPr>
          <w:rFonts w:ascii="標楷體" w:hint="eastAsia"/>
          <w:b/>
          <w:sz w:val="32"/>
          <w:u w:val="none"/>
        </w:rPr>
        <w:t>信準則第</w:t>
      </w:r>
      <w:r w:rsidR="007C1AC8">
        <w:rPr>
          <w:rFonts w:ascii="標楷體" w:hint="eastAsia"/>
          <w:b/>
          <w:sz w:val="32"/>
          <w:u w:val="none"/>
        </w:rPr>
        <w:t>20</w:t>
      </w:r>
      <w:r w:rsidRPr="003F2CBB">
        <w:rPr>
          <w:rFonts w:ascii="標楷體" w:hint="eastAsia"/>
          <w:b/>
          <w:sz w:val="32"/>
          <w:u w:val="none"/>
        </w:rPr>
        <w:t>條</w:t>
      </w:r>
      <w:r w:rsidR="00DB08D6">
        <w:rPr>
          <w:rFonts w:ascii="標楷體" w:hint="eastAsia"/>
          <w:b/>
          <w:sz w:val="32"/>
          <w:u w:val="none"/>
        </w:rPr>
        <w:t>之1</w:t>
      </w:r>
      <w:r w:rsidR="008A7AE8">
        <w:rPr>
          <w:rFonts w:ascii="標楷體" w:hint="eastAsia"/>
          <w:b/>
          <w:sz w:val="32"/>
          <w:u w:val="none"/>
        </w:rPr>
        <w:t>增訂條文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20"/>
        <w:gridCol w:w="3260"/>
      </w:tblGrid>
      <w:tr w:rsidR="001E59A9" w:rsidRPr="003F2CBB" w:rsidTr="00434014">
        <w:trPr>
          <w:trHeight w:hRule="exact" w:val="624"/>
          <w:tblHeader/>
        </w:trPr>
        <w:tc>
          <w:tcPr>
            <w:tcW w:w="5920" w:type="dxa"/>
            <w:shd w:val="clear" w:color="auto" w:fill="EEECE1" w:themeFill="background2"/>
            <w:vAlign w:val="center"/>
          </w:tcPr>
          <w:p w:rsidR="001E59A9" w:rsidRPr="00E2027B" w:rsidRDefault="001E59A9" w:rsidP="00BC6FC7">
            <w:pPr>
              <w:pStyle w:val="a9"/>
              <w:spacing w:line="380" w:lineRule="exact"/>
              <w:ind w:leftChars="0" w:left="280" w:hanging="280"/>
              <w:jc w:val="center"/>
              <w:rPr>
                <w:rFonts w:ascii="標楷體"/>
                <w:color w:val="auto"/>
                <w:sz w:val="28"/>
                <w:szCs w:val="28"/>
                <w:u w:val="none"/>
              </w:rPr>
            </w:pP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增訂條文</w:t>
            </w:r>
          </w:p>
        </w:tc>
        <w:tc>
          <w:tcPr>
            <w:tcW w:w="3260" w:type="dxa"/>
            <w:shd w:val="clear" w:color="auto" w:fill="EEECE1" w:themeFill="background2"/>
            <w:vAlign w:val="center"/>
          </w:tcPr>
          <w:p w:rsidR="001E59A9" w:rsidRPr="001E59A9" w:rsidRDefault="001E59A9" w:rsidP="00BC6FC7">
            <w:pPr>
              <w:pStyle w:val="a9"/>
              <w:spacing w:line="380" w:lineRule="exact"/>
              <w:ind w:leftChars="0" w:left="280" w:hanging="280"/>
              <w:jc w:val="center"/>
              <w:rPr>
                <w:rFonts w:ascii="標楷體"/>
                <w:sz w:val="28"/>
                <w:szCs w:val="28"/>
                <w:u w:val="none"/>
              </w:rPr>
            </w:pPr>
            <w:r w:rsidRPr="001E59A9">
              <w:rPr>
                <w:rFonts w:ascii="標楷體" w:hint="eastAsia"/>
                <w:sz w:val="28"/>
                <w:szCs w:val="28"/>
                <w:u w:val="none"/>
              </w:rPr>
              <w:t>說明</w:t>
            </w:r>
          </w:p>
        </w:tc>
      </w:tr>
      <w:tr w:rsidR="001E59A9" w:rsidRPr="003F2CBB" w:rsidTr="00434014">
        <w:tc>
          <w:tcPr>
            <w:tcW w:w="5920" w:type="dxa"/>
          </w:tcPr>
          <w:p w:rsidR="00434014" w:rsidRPr="00E2027B" w:rsidRDefault="001E59A9" w:rsidP="00BC6FC7">
            <w:pPr>
              <w:pStyle w:val="a9"/>
              <w:spacing w:before="100" w:line="380" w:lineRule="exact"/>
              <w:ind w:leftChars="0" w:left="0" w:firstLineChars="0" w:firstLine="0"/>
              <w:jc w:val="both"/>
              <w:rPr>
                <w:rFonts w:ascii="標楷體"/>
                <w:color w:val="auto"/>
                <w:sz w:val="28"/>
                <w:szCs w:val="28"/>
                <w:u w:val="none"/>
              </w:rPr>
            </w:pPr>
            <w:r w:rsidRPr="00E2027B">
              <w:rPr>
                <w:rFonts w:ascii="標楷體" w:hint="eastAsia"/>
                <w:bCs/>
                <w:color w:val="auto"/>
                <w:sz w:val="28"/>
                <w:szCs w:val="28"/>
                <w:u w:val="none"/>
              </w:rPr>
              <w:t>第20條之1</w:t>
            </w: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 xml:space="preserve"> </w:t>
            </w:r>
          </w:p>
          <w:p w:rsidR="001E59A9" w:rsidRPr="00E2027B" w:rsidRDefault="001E59A9" w:rsidP="00BC6FC7">
            <w:pPr>
              <w:pStyle w:val="a9"/>
              <w:spacing w:before="100" w:line="380" w:lineRule="exact"/>
              <w:ind w:leftChars="0" w:left="0" w:firstLineChars="0" w:firstLine="0"/>
              <w:jc w:val="both"/>
              <w:rPr>
                <w:rFonts w:ascii="標楷體"/>
                <w:color w:val="auto"/>
                <w:sz w:val="28"/>
                <w:szCs w:val="28"/>
                <w:u w:val="none"/>
              </w:rPr>
            </w:pP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銀行</w:t>
            </w:r>
            <w:proofErr w:type="gramStart"/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承作</w:t>
            </w:r>
            <w:proofErr w:type="gramEnd"/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大型公共工程專案融資除應依一般徵、授信規範辦理外，應遵循下列原則:</w:t>
            </w:r>
          </w:p>
          <w:p w:rsidR="001E59A9" w:rsidRPr="00E2027B" w:rsidRDefault="001E59A9" w:rsidP="00BC6FC7">
            <w:pPr>
              <w:pStyle w:val="a9"/>
              <w:numPr>
                <w:ilvl w:val="0"/>
                <w:numId w:val="3"/>
              </w:numPr>
              <w:spacing w:before="100" w:line="380" w:lineRule="exact"/>
              <w:ind w:leftChars="0" w:firstLineChars="0"/>
              <w:jc w:val="both"/>
              <w:rPr>
                <w:rFonts w:ascii="標楷體"/>
                <w:color w:val="auto"/>
                <w:sz w:val="28"/>
                <w:szCs w:val="28"/>
                <w:u w:val="none"/>
              </w:rPr>
            </w:pP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確認專案投資計畫是否適用專案融資。</w:t>
            </w:r>
          </w:p>
          <w:p w:rsidR="001E59A9" w:rsidRPr="00E2027B" w:rsidRDefault="001E59A9" w:rsidP="00BC6FC7">
            <w:pPr>
              <w:pStyle w:val="a9"/>
              <w:numPr>
                <w:ilvl w:val="0"/>
                <w:numId w:val="3"/>
              </w:numPr>
              <w:spacing w:before="100" w:line="380" w:lineRule="exact"/>
              <w:ind w:leftChars="0" w:firstLineChars="0"/>
              <w:jc w:val="both"/>
              <w:rPr>
                <w:rFonts w:ascii="標楷體"/>
                <w:color w:val="auto"/>
                <w:sz w:val="28"/>
                <w:szCs w:val="28"/>
                <w:u w:val="none"/>
              </w:rPr>
            </w:pP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辦理盡職調查(Due Diligence)，就專案計畫之財務、法律、保險、工程等方面進行可行性及風險評估，必要時，應委託專業顧問公司或第三方檢測驗證機構出具評估報告。銀行經審慎評估該報告之</w:t>
            </w:r>
            <w:proofErr w:type="gramStart"/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合理性後</w:t>
            </w:r>
            <w:proofErr w:type="gramEnd"/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，得將該評估報告作為自行之可行性及風險評估報告，或依其自行評估結果酌予修正後採用之。</w:t>
            </w:r>
            <w:r w:rsidR="006D3D30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如</w:t>
            </w: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屬機密性</w:t>
            </w:r>
            <w:r w:rsidR="00877BD8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公共工程</w:t>
            </w:r>
            <w:r w:rsidR="006D3D30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融資</w:t>
            </w: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案件，應由政府有關部門或其指定之專業顧問公司出具評估報告，且銀行得逕行採用該評估報告</w:t>
            </w:r>
            <w:proofErr w:type="gramStart"/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作為徵審之</w:t>
            </w:r>
            <w:proofErr w:type="gramEnd"/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參考依據。</w:t>
            </w:r>
          </w:p>
          <w:p w:rsidR="001E59A9" w:rsidRPr="00E2027B" w:rsidRDefault="001E59A9" w:rsidP="00BC6FC7">
            <w:pPr>
              <w:pStyle w:val="a9"/>
              <w:spacing w:before="100" w:line="380" w:lineRule="exact"/>
              <w:ind w:leftChars="0" w:left="560" w:hangingChars="200" w:hanging="560"/>
              <w:jc w:val="both"/>
              <w:rPr>
                <w:rFonts w:ascii="標楷體"/>
                <w:color w:val="auto"/>
                <w:sz w:val="28"/>
                <w:szCs w:val="28"/>
                <w:u w:val="none"/>
              </w:rPr>
            </w:pP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(三)辦理專案融資風險評估</w:t>
            </w:r>
            <w:r w:rsidR="006D3D30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時</w:t>
            </w: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，應加強注意評估下列事項：</w:t>
            </w:r>
          </w:p>
          <w:p w:rsidR="001E59A9" w:rsidRPr="00E2027B" w:rsidRDefault="001E59A9" w:rsidP="006D3D30">
            <w:pPr>
              <w:pStyle w:val="a9"/>
              <w:spacing w:before="100" w:line="380" w:lineRule="exact"/>
              <w:ind w:leftChars="100" w:left="520" w:hanging="280"/>
              <w:jc w:val="both"/>
              <w:rPr>
                <w:rFonts w:ascii="標楷體"/>
                <w:color w:val="auto"/>
                <w:sz w:val="28"/>
                <w:szCs w:val="28"/>
                <w:u w:val="none"/>
              </w:rPr>
            </w:pP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1.借款人之主要股東、專案之投資人、發起人及其專案執行之能力、過往實績等。</w:t>
            </w:r>
          </w:p>
          <w:p w:rsidR="001E59A9" w:rsidRPr="00E2027B" w:rsidRDefault="001E59A9" w:rsidP="006D3D30">
            <w:pPr>
              <w:pStyle w:val="a9"/>
              <w:spacing w:before="100" w:line="380" w:lineRule="exact"/>
              <w:ind w:leftChars="100" w:left="520" w:hanging="280"/>
              <w:jc w:val="both"/>
              <w:rPr>
                <w:rFonts w:ascii="標楷體"/>
                <w:color w:val="auto"/>
                <w:sz w:val="28"/>
                <w:szCs w:val="28"/>
                <w:u w:val="none"/>
              </w:rPr>
            </w:pP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2.資金用途應評估各項成本及費用支出之合理性。</w:t>
            </w:r>
          </w:p>
          <w:p w:rsidR="001E59A9" w:rsidRPr="00E2027B" w:rsidRDefault="001E59A9" w:rsidP="006D3D30">
            <w:pPr>
              <w:pStyle w:val="a9"/>
              <w:spacing w:before="100" w:line="380" w:lineRule="exact"/>
              <w:ind w:leftChars="100" w:left="520" w:hanging="280"/>
              <w:jc w:val="both"/>
              <w:rPr>
                <w:rFonts w:ascii="標楷體"/>
                <w:color w:val="auto"/>
                <w:sz w:val="28"/>
                <w:szCs w:val="28"/>
                <w:u w:val="none"/>
              </w:rPr>
            </w:pP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3.還款來源應評估財務假設及預測之可達成性。</w:t>
            </w:r>
          </w:p>
          <w:p w:rsidR="001E59A9" w:rsidRPr="00E2027B" w:rsidRDefault="001E59A9" w:rsidP="006D3D30">
            <w:pPr>
              <w:pStyle w:val="a9"/>
              <w:spacing w:before="100" w:line="380" w:lineRule="exact"/>
              <w:ind w:leftChars="100" w:left="520" w:hanging="280"/>
              <w:jc w:val="both"/>
              <w:rPr>
                <w:rFonts w:ascii="標楷體"/>
                <w:color w:val="auto"/>
                <w:sz w:val="28"/>
                <w:szCs w:val="28"/>
                <w:u w:val="none"/>
              </w:rPr>
            </w:pP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4.債權確保應評估專案內各項主要標的物或擔保品，及其違約時之處分方式。</w:t>
            </w:r>
          </w:p>
          <w:p w:rsidR="001E59A9" w:rsidRPr="00E2027B" w:rsidRDefault="001E59A9" w:rsidP="00BC6FC7">
            <w:pPr>
              <w:pStyle w:val="a9"/>
              <w:spacing w:before="100" w:line="380" w:lineRule="exact"/>
              <w:ind w:leftChars="0" w:left="560" w:hangingChars="200" w:hanging="560"/>
              <w:jc w:val="both"/>
              <w:rPr>
                <w:rFonts w:ascii="標楷體"/>
                <w:color w:val="auto"/>
                <w:sz w:val="28"/>
                <w:szCs w:val="28"/>
                <w:u w:val="none"/>
              </w:rPr>
            </w:pP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(四)為確保融資銀行之權益，應與借款人及投資人、發起人等關係人協商風險分攤機制及擔保架構，必要時應</w:t>
            </w:r>
            <w:proofErr w:type="gramStart"/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加強徵提擔保</w:t>
            </w:r>
            <w:proofErr w:type="gramEnd"/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品及(或)保證人。如屬機密性</w:t>
            </w:r>
            <w:r w:rsidR="00877BD8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公共工程</w:t>
            </w: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融資案件，應與工程採購機關商訂相關風險控管機制，得包括但不限於由政府機關承擔債</w:t>
            </w: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lastRenderedPageBreak/>
              <w:t>務或提供保證、以信託方式設立</w:t>
            </w:r>
            <w:proofErr w:type="gramStart"/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專戶控管</w:t>
            </w:r>
            <w:proofErr w:type="gramEnd"/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資金、引進外部專家(律師、會計師等)進行監管、借款人違約時之續建完工機制、退場機制或介入權等相關事宜。</w:t>
            </w:r>
          </w:p>
          <w:p w:rsidR="001E59A9" w:rsidRPr="00E2027B" w:rsidRDefault="001E59A9" w:rsidP="00BC6FC7">
            <w:pPr>
              <w:pStyle w:val="a9"/>
              <w:spacing w:before="100" w:line="380" w:lineRule="exact"/>
              <w:ind w:leftChars="0" w:left="560" w:hangingChars="200" w:hanging="560"/>
              <w:jc w:val="both"/>
              <w:rPr>
                <w:rFonts w:ascii="標楷體"/>
                <w:color w:val="auto"/>
                <w:sz w:val="28"/>
                <w:szCs w:val="28"/>
                <w:u w:val="none"/>
              </w:rPr>
            </w:pP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(五)如</w:t>
            </w:r>
            <w:r w:rsidR="000D6343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係</w:t>
            </w: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聯貸案，有關籌組銀行團之程序如下:</w:t>
            </w:r>
          </w:p>
          <w:p w:rsidR="001E59A9" w:rsidRPr="00E2027B" w:rsidRDefault="001E59A9" w:rsidP="00BC6FC7">
            <w:pPr>
              <w:pStyle w:val="a9"/>
              <w:numPr>
                <w:ilvl w:val="0"/>
                <w:numId w:val="4"/>
              </w:numPr>
              <w:spacing w:before="100" w:line="380" w:lineRule="exact"/>
              <w:ind w:leftChars="100" w:left="524" w:firstLineChars="0" w:hanging="284"/>
              <w:jc w:val="both"/>
              <w:rPr>
                <w:rFonts w:ascii="標楷體"/>
                <w:color w:val="auto"/>
                <w:sz w:val="28"/>
                <w:szCs w:val="28"/>
                <w:u w:val="none"/>
              </w:rPr>
            </w:pP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主辦行應先就申請案借款計畫確實評估其可行性及分析其還款能力，並將所作評估及分析事項連同借款人財、業務徵信資料，製作成聯貸說明書，邀請其他銀行參貸。</w:t>
            </w:r>
          </w:p>
          <w:p w:rsidR="001E59A9" w:rsidRPr="00E2027B" w:rsidRDefault="001E59A9" w:rsidP="00BC6FC7">
            <w:pPr>
              <w:pStyle w:val="a9"/>
              <w:numPr>
                <w:ilvl w:val="0"/>
                <w:numId w:val="4"/>
              </w:numPr>
              <w:spacing w:before="100" w:line="380" w:lineRule="exact"/>
              <w:ind w:leftChars="100" w:left="524" w:firstLineChars="0" w:hanging="284"/>
              <w:jc w:val="both"/>
              <w:rPr>
                <w:rFonts w:ascii="標楷體"/>
                <w:color w:val="auto"/>
                <w:sz w:val="28"/>
                <w:szCs w:val="28"/>
                <w:u w:val="none"/>
              </w:rPr>
            </w:pP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主辦行應視個案需要，聯繫有意願參貸之銀行召開聯貸說明會。</w:t>
            </w:r>
          </w:p>
          <w:p w:rsidR="001E59A9" w:rsidRPr="00E2027B" w:rsidRDefault="001E59A9" w:rsidP="00BC6FC7">
            <w:pPr>
              <w:pStyle w:val="a9"/>
              <w:numPr>
                <w:ilvl w:val="0"/>
                <w:numId w:val="4"/>
              </w:numPr>
              <w:spacing w:before="100" w:line="380" w:lineRule="exact"/>
              <w:ind w:leftChars="100" w:left="524" w:firstLineChars="0" w:hanging="284"/>
              <w:jc w:val="both"/>
              <w:rPr>
                <w:rFonts w:ascii="標楷體"/>
                <w:color w:val="auto"/>
                <w:sz w:val="28"/>
                <w:szCs w:val="28"/>
                <w:u w:val="none"/>
              </w:rPr>
            </w:pP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聯貸案經各參貸銀行依其內部程序簽報核准後，主辦行應將主辦行與參貸行間及銀行與借款人間之權利義務，訂明於聯貸合約書後，安排與借款人簽約事宜。</w:t>
            </w:r>
          </w:p>
          <w:p w:rsidR="001E59A9" w:rsidRPr="00E2027B" w:rsidRDefault="001E59A9" w:rsidP="00BC6FC7">
            <w:pPr>
              <w:pStyle w:val="a9"/>
              <w:spacing w:before="100" w:line="380" w:lineRule="exact"/>
              <w:ind w:leftChars="0" w:left="624" w:firstLineChars="0" w:hanging="624"/>
              <w:jc w:val="both"/>
              <w:rPr>
                <w:rFonts w:ascii="標楷體"/>
                <w:color w:val="auto"/>
                <w:sz w:val="28"/>
                <w:szCs w:val="28"/>
                <w:u w:val="none"/>
              </w:rPr>
            </w:pP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(六)落實貸後管理機制，訂定追蹤專案計畫執行進度。如屬機密性</w:t>
            </w:r>
            <w:r w:rsidR="007111A9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公共工程</w:t>
            </w:r>
            <w:r w:rsidR="00205E77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融資案件，應請</w:t>
            </w: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工程採購機關</w:t>
            </w:r>
            <w:r w:rsidR="00205E77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出具</w:t>
            </w: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工程執行進度</w:t>
            </w:r>
            <w:r w:rsidR="00205E77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、</w:t>
            </w: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借款人履約狀況</w:t>
            </w:r>
            <w:r w:rsidR="00205E77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及借款人所</w:t>
            </w: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提供指定用途之支出憑證是否符合工程契約</w:t>
            </w:r>
            <w:r w:rsidR="00205E77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之意見</w:t>
            </w: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。</w:t>
            </w:r>
          </w:p>
          <w:p w:rsidR="00AE1E46" w:rsidRDefault="001E59A9" w:rsidP="00CE6614">
            <w:pPr>
              <w:pStyle w:val="a9"/>
              <w:spacing w:before="100" w:line="380" w:lineRule="exact"/>
              <w:ind w:leftChars="14" w:left="594" w:hangingChars="200" w:hanging="560"/>
              <w:jc w:val="both"/>
              <w:rPr>
                <w:rFonts w:ascii="標楷體"/>
                <w:color w:val="auto"/>
                <w:sz w:val="28"/>
                <w:szCs w:val="28"/>
                <w:u w:val="none"/>
              </w:rPr>
            </w:pPr>
            <w:r w:rsidRPr="00E2027B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(七)辦理專案融資重大款項之國外匯款</w:t>
            </w:r>
            <w:r w:rsidRPr="00617456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，</w:t>
            </w:r>
            <w:proofErr w:type="gramStart"/>
            <w:r w:rsidR="00231BFD" w:rsidRPr="00617456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應依</w:t>
            </w:r>
            <w:r w:rsidR="00F42A79" w:rsidRPr="00617456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防制</w:t>
            </w:r>
            <w:proofErr w:type="gramEnd"/>
            <w:r w:rsidR="00F42A79" w:rsidRPr="00617456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洗錢及打擊</w:t>
            </w:r>
            <w:proofErr w:type="gramStart"/>
            <w:r w:rsidR="00F42A79" w:rsidRPr="00617456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資恐等</w:t>
            </w:r>
            <w:proofErr w:type="gramEnd"/>
            <w:r w:rsidR="00F42A79" w:rsidRPr="00617456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相關</w:t>
            </w:r>
            <w:r w:rsidR="00CE6614" w:rsidRPr="00617456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法</w:t>
            </w:r>
            <w:r w:rsidR="00F42A79" w:rsidRPr="00617456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規</w:t>
            </w:r>
            <w:r w:rsidR="00231BFD" w:rsidRPr="00617456">
              <w:rPr>
                <w:rFonts w:ascii="標楷體" w:hint="eastAsia"/>
                <w:color w:val="auto"/>
                <w:sz w:val="28"/>
                <w:szCs w:val="28"/>
                <w:u w:val="none"/>
              </w:rPr>
              <w:t>辦理。</w:t>
            </w:r>
          </w:p>
        </w:tc>
        <w:tc>
          <w:tcPr>
            <w:tcW w:w="3260" w:type="dxa"/>
          </w:tcPr>
          <w:p w:rsidR="001E59A9" w:rsidRPr="001E59A9" w:rsidRDefault="001E59A9" w:rsidP="00E2027B">
            <w:pPr>
              <w:pStyle w:val="a9"/>
              <w:spacing w:line="380" w:lineRule="exact"/>
              <w:ind w:leftChars="0" w:left="0" w:firstLineChars="0" w:firstLine="0"/>
              <w:jc w:val="both"/>
              <w:rPr>
                <w:rFonts w:ascii="標楷體" w:hAnsi="標楷體"/>
                <w:sz w:val="28"/>
                <w:szCs w:val="28"/>
                <w:u w:val="none"/>
              </w:rPr>
            </w:pPr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lastRenderedPageBreak/>
              <w:t>依金融監督管理委員會106年11月23日金</w:t>
            </w:r>
            <w:proofErr w:type="gramStart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管銀國</w:t>
            </w:r>
            <w:proofErr w:type="gramEnd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字第10620005910號函及</w:t>
            </w:r>
            <w:r w:rsidR="002931D4">
              <w:rPr>
                <w:rFonts w:ascii="標楷體" w:hAnsi="標楷體" w:hint="eastAsia"/>
                <w:sz w:val="28"/>
                <w:szCs w:val="28"/>
                <w:u w:val="none"/>
              </w:rPr>
              <w:t>106年12月12日金</w:t>
            </w:r>
            <w:proofErr w:type="gramStart"/>
            <w:r w:rsidR="002931D4">
              <w:rPr>
                <w:rFonts w:ascii="標楷體" w:hAnsi="標楷體" w:hint="eastAsia"/>
                <w:sz w:val="28"/>
                <w:szCs w:val="28"/>
                <w:u w:val="none"/>
              </w:rPr>
              <w:t>管銀國</w:t>
            </w:r>
            <w:proofErr w:type="gramEnd"/>
            <w:r w:rsidR="002931D4">
              <w:rPr>
                <w:rFonts w:ascii="標楷體" w:hAnsi="標楷體" w:hint="eastAsia"/>
                <w:sz w:val="28"/>
                <w:szCs w:val="28"/>
                <w:u w:val="none"/>
              </w:rPr>
              <w:t>字第10600226490號函示</w:t>
            </w:r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，增訂</w:t>
            </w:r>
            <w:r w:rsidR="002931D4">
              <w:rPr>
                <w:rFonts w:ascii="標楷體" w:hAnsi="標楷體" w:hint="eastAsia"/>
                <w:sz w:val="28"/>
                <w:szCs w:val="28"/>
                <w:u w:val="none"/>
              </w:rPr>
              <w:t>銀行</w:t>
            </w:r>
            <w:proofErr w:type="gramStart"/>
            <w:r w:rsidR="002931D4">
              <w:rPr>
                <w:rFonts w:ascii="標楷體" w:hAnsi="標楷體" w:hint="eastAsia"/>
                <w:sz w:val="28"/>
                <w:szCs w:val="28"/>
                <w:u w:val="none"/>
              </w:rPr>
              <w:t>承作</w:t>
            </w:r>
            <w:proofErr w:type="gramEnd"/>
            <w:r w:rsidR="002931D4">
              <w:rPr>
                <w:rFonts w:ascii="標楷體" w:hAnsi="標楷體" w:hint="eastAsia"/>
                <w:sz w:val="28"/>
                <w:szCs w:val="28"/>
                <w:u w:val="none"/>
              </w:rPr>
              <w:t>大型公共工程專案融資之原則性規範</w:t>
            </w:r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：</w:t>
            </w:r>
          </w:p>
          <w:p w:rsidR="001E59A9" w:rsidRPr="001E59A9" w:rsidRDefault="001E59A9" w:rsidP="00BC6FC7">
            <w:pPr>
              <w:pStyle w:val="a9"/>
              <w:numPr>
                <w:ilvl w:val="0"/>
                <w:numId w:val="5"/>
              </w:numPr>
              <w:spacing w:line="380" w:lineRule="exact"/>
              <w:ind w:leftChars="0" w:firstLineChars="0"/>
              <w:jc w:val="both"/>
              <w:rPr>
                <w:rFonts w:ascii="標楷體" w:hAnsi="標楷體"/>
                <w:sz w:val="28"/>
                <w:szCs w:val="28"/>
                <w:u w:val="none"/>
              </w:rPr>
            </w:pPr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專案融資案之授信評估，在於該專案未來所能產生的現金流量與相關的商業契約架構，</w:t>
            </w:r>
            <w:r w:rsidRPr="001E59A9">
              <w:rPr>
                <w:rFonts w:ascii="標楷體" w:hAnsi="標楷體"/>
                <w:sz w:val="28"/>
                <w:szCs w:val="28"/>
                <w:u w:val="none"/>
              </w:rPr>
              <w:t>故銀行應確認專案</w:t>
            </w:r>
            <w:r w:rsidR="00F363FC">
              <w:rPr>
                <w:rFonts w:ascii="標楷體" w:hAnsi="標楷體" w:hint="eastAsia"/>
                <w:sz w:val="28"/>
                <w:szCs w:val="28"/>
                <w:u w:val="none"/>
              </w:rPr>
              <w:t>投資</w:t>
            </w:r>
            <w:r w:rsidRPr="001E59A9">
              <w:rPr>
                <w:rFonts w:ascii="標楷體" w:hAnsi="標楷體"/>
                <w:sz w:val="28"/>
                <w:szCs w:val="28"/>
                <w:u w:val="none"/>
              </w:rPr>
              <w:t>計畫是否具穩定之償債能力</w:t>
            </w:r>
            <w:r w:rsidR="00F363FC">
              <w:rPr>
                <w:rFonts w:ascii="標楷體" w:hAnsi="標楷體" w:hint="eastAsia"/>
                <w:sz w:val="28"/>
                <w:szCs w:val="28"/>
                <w:u w:val="none"/>
              </w:rPr>
              <w:t>及是否適用專案融資模式</w:t>
            </w:r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，</w:t>
            </w:r>
            <w:proofErr w:type="gramStart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爰設第</w:t>
            </w:r>
            <w:proofErr w:type="gramEnd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(</w:t>
            </w:r>
            <w:proofErr w:type="gramStart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一</w:t>
            </w:r>
            <w:proofErr w:type="gramEnd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)款。</w:t>
            </w:r>
          </w:p>
          <w:p w:rsidR="001E59A9" w:rsidRPr="001E59A9" w:rsidRDefault="001E59A9" w:rsidP="00BC6FC7">
            <w:pPr>
              <w:pStyle w:val="a9"/>
              <w:numPr>
                <w:ilvl w:val="0"/>
                <w:numId w:val="5"/>
              </w:numPr>
              <w:spacing w:line="380" w:lineRule="exact"/>
              <w:ind w:leftChars="0" w:firstLineChars="0"/>
              <w:jc w:val="both"/>
              <w:rPr>
                <w:rFonts w:ascii="標楷體" w:hAnsi="標楷體"/>
                <w:sz w:val="28"/>
                <w:szCs w:val="28"/>
                <w:u w:val="none"/>
              </w:rPr>
            </w:pPr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為確保專案計畫能如期完成且後續具有穩定之償債能力，銀行應辦理盡職調查，</w:t>
            </w:r>
            <w:proofErr w:type="gramStart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爰設第</w:t>
            </w:r>
            <w:proofErr w:type="gramEnd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(二)款。</w:t>
            </w:r>
          </w:p>
          <w:p w:rsidR="001E59A9" w:rsidRPr="001E59A9" w:rsidRDefault="001E59A9" w:rsidP="00BC6FC7">
            <w:pPr>
              <w:pStyle w:val="a9"/>
              <w:numPr>
                <w:ilvl w:val="0"/>
                <w:numId w:val="5"/>
              </w:numPr>
              <w:spacing w:line="380" w:lineRule="exact"/>
              <w:ind w:leftChars="0" w:firstLineChars="0"/>
              <w:jc w:val="both"/>
              <w:rPr>
                <w:rFonts w:ascii="標楷體" w:hAnsi="標楷體"/>
                <w:sz w:val="28"/>
                <w:szCs w:val="28"/>
                <w:u w:val="none"/>
              </w:rPr>
            </w:pPr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針對專案融資增訂風險評估</w:t>
            </w:r>
            <w:r w:rsidR="00735EB6">
              <w:rPr>
                <w:rFonts w:ascii="標楷體" w:hAnsi="標楷體" w:hint="eastAsia"/>
                <w:sz w:val="28"/>
                <w:szCs w:val="28"/>
                <w:u w:val="none"/>
              </w:rPr>
              <w:t>方法</w:t>
            </w:r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，</w:t>
            </w:r>
            <w:proofErr w:type="gramStart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爰設第</w:t>
            </w:r>
            <w:proofErr w:type="gramEnd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(三)款。</w:t>
            </w:r>
          </w:p>
          <w:p w:rsidR="001E59A9" w:rsidRPr="001E59A9" w:rsidRDefault="001E59A9" w:rsidP="00BC6FC7">
            <w:pPr>
              <w:pStyle w:val="a9"/>
              <w:numPr>
                <w:ilvl w:val="0"/>
                <w:numId w:val="5"/>
              </w:numPr>
              <w:spacing w:line="380" w:lineRule="exact"/>
              <w:ind w:leftChars="0" w:firstLineChars="0"/>
              <w:jc w:val="both"/>
              <w:rPr>
                <w:rFonts w:ascii="標楷體" w:hAnsi="標楷體"/>
                <w:sz w:val="28"/>
                <w:szCs w:val="28"/>
                <w:u w:val="none"/>
              </w:rPr>
            </w:pPr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專案融資多屬無追索權或有限追索權，</w:t>
            </w:r>
            <w:r w:rsidR="003957F2">
              <w:rPr>
                <w:rFonts w:ascii="標楷體" w:hAnsi="標楷體" w:hint="eastAsia"/>
                <w:sz w:val="28"/>
                <w:szCs w:val="28"/>
                <w:u w:val="none"/>
              </w:rPr>
              <w:t>為確保權益，</w:t>
            </w:r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銀行應</w:t>
            </w:r>
            <w:r w:rsidR="003957F2">
              <w:rPr>
                <w:rFonts w:ascii="標楷體" w:hAnsi="標楷體" w:hint="eastAsia"/>
                <w:sz w:val="28"/>
                <w:szCs w:val="28"/>
                <w:u w:val="none"/>
              </w:rPr>
              <w:t>商訂</w:t>
            </w:r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債權</w:t>
            </w:r>
            <w:r w:rsidR="003957F2">
              <w:rPr>
                <w:rFonts w:ascii="標楷體" w:hAnsi="標楷體" w:hint="eastAsia"/>
                <w:sz w:val="28"/>
                <w:szCs w:val="28"/>
                <w:u w:val="none"/>
              </w:rPr>
              <w:t>風險控管</w:t>
            </w:r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機制，以降低銀行授信風險，</w:t>
            </w:r>
            <w:proofErr w:type="gramStart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爰設第</w:t>
            </w:r>
            <w:proofErr w:type="gramEnd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(四)款。</w:t>
            </w:r>
          </w:p>
          <w:p w:rsidR="001E59A9" w:rsidRPr="001E59A9" w:rsidRDefault="001E59A9" w:rsidP="00BC6FC7">
            <w:pPr>
              <w:pStyle w:val="a9"/>
              <w:numPr>
                <w:ilvl w:val="0"/>
                <w:numId w:val="5"/>
              </w:numPr>
              <w:spacing w:line="380" w:lineRule="exact"/>
              <w:ind w:leftChars="0" w:firstLineChars="0"/>
              <w:jc w:val="both"/>
              <w:rPr>
                <w:rFonts w:ascii="標楷體" w:hAnsi="標楷體"/>
                <w:sz w:val="28"/>
                <w:szCs w:val="28"/>
                <w:u w:val="none"/>
              </w:rPr>
            </w:pPr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lastRenderedPageBreak/>
              <w:t>因大型專案融資多以聯貸方式</w:t>
            </w:r>
            <w:proofErr w:type="gramStart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承作</w:t>
            </w:r>
            <w:proofErr w:type="gramEnd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，</w:t>
            </w:r>
            <w:proofErr w:type="gramStart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爰設第</w:t>
            </w:r>
            <w:proofErr w:type="gramEnd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(五)款，訂定籌組</w:t>
            </w:r>
            <w:r w:rsidR="0089428B">
              <w:rPr>
                <w:rFonts w:ascii="標楷體" w:hAnsi="標楷體" w:hint="eastAsia"/>
                <w:sz w:val="28"/>
                <w:szCs w:val="28"/>
                <w:u w:val="none"/>
              </w:rPr>
              <w:t>聯貸銀行團</w:t>
            </w:r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程序之原則性規範。</w:t>
            </w:r>
          </w:p>
          <w:p w:rsidR="001E59A9" w:rsidRPr="001E59A9" w:rsidRDefault="001E59A9" w:rsidP="00BC6FC7">
            <w:pPr>
              <w:pStyle w:val="a9"/>
              <w:numPr>
                <w:ilvl w:val="0"/>
                <w:numId w:val="5"/>
              </w:numPr>
              <w:spacing w:line="380" w:lineRule="exact"/>
              <w:ind w:leftChars="0" w:firstLineChars="0"/>
              <w:jc w:val="both"/>
              <w:rPr>
                <w:rFonts w:ascii="標楷體" w:hAnsi="標楷體"/>
                <w:sz w:val="28"/>
                <w:szCs w:val="28"/>
                <w:u w:val="none"/>
              </w:rPr>
            </w:pPr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銀行應落實貸後管理機制，確認相關交易之真實性，以避免借款人將借款資金流用於非屬專案計畫之用途，</w:t>
            </w:r>
            <w:proofErr w:type="gramStart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爰設第</w:t>
            </w:r>
            <w:proofErr w:type="gramEnd"/>
            <w:r w:rsidRPr="001E59A9">
              <w:rPr>
                <w:rFonts w:ascii="標楷體" w:hAnsi="標楷體" w:hint="eastAsia"/>
                <w:sz w:val="28"/>
                <w:szCs w:val="28"/>
                <w:u w:val="none"/>
              </w:rPr>
              <w:t>(六)款。</w:t>
            </w:r>
          </w:p>
          <w:p w:rsidR="001E59A9" w:rsidRPr="00EB43EC" w:rsidRDefault="001E59A9" w:rsidP="00BC6FC7">
            <w:pPr>
              <w:pStyle w:val="ae"/>
              <w:numPr>
                <w:ilvl w:val="0"/>
                <w:numId w:val="5"/>
              </w:numPr>
              <w:spacing w:line="380" w:lineRule="exact"/>
              <w:ind w:leftChars="0"/>
              <w:jc w:val="both"/>
              <w:rPr>
                <w:rFonts w:ascii="標楷體" w:eastAsia="標楷體" w:hAnsi="標楷體" w:cs="Courier New"/>
                <w:color w:val="000000"/>
                <w:sz w:val="28"/>
                <w:szCs w:val="28"/>
              </w:rPr>
            </w:pPr>
            <w:r w:rsidRPr="001E59A9">
              <w:rPr>
                <w:rFonts w:ascii="標楷體" w:eastAsia="標楷體" w:hAnsi="標楷體" w:cs="Courier New" w:hint="eastAsia"/>
                <w:color w:val="000000"/>
                <w:sz w:val="28"/>
                <w:szCs w:val="28"/>
              </w:rPr>
              <w:t>銀行辦理授信案件，將款項</w:t>
            </w:r>
            <w:proofErr w:type="gramStart"/>
            <w:r w:rsidRPr="001E59A9">
              <w:rPr>
                <w:rFonts w:ascii="標楷體" w:eastAsia="標楷體" w:hAnsi="標楷體" w:cs="Courier New" w:hint="eastAsia"/>
                <w:color w:val="000000"/>
                <w:sz w:val="28"/>
                <w:szCs w:val="28"/>
              </w:rPr>
              <w:t>匯</w:t>
            </w:r>
            <w:proofErr w:type="gramEnd"/>
            <w:r w:rsidRPr="001E59A9">
              <w:rPr>
                <w:rFonts w:ascii="標楷體" w:eastAsia="標楷體" w:hAnsi="標楷體" w:cs="Courier New" w:hint="eastAsia"/>
                <w:color w:val="000000"/>
                <w:sz w:val="28"/>
                <w:szCs w:val="28"/>
              </w:rPr>
              <w:t>付國外受款人，</w:t>
            </w:r>
            <w:r w:rsidR="00231BFD" w:rsidRPr="00EB43EC">
              <w:rPr>
                <w:rFonts w:ascii="標楷體" w:eastAsia="標楷體" w:hAnsi="標楷體" w:cs="Courier New" w:hint="eastAsia"/>
                <w:color w:val="000000"/>
                <w:sz w:val="28"/>
                <w:szCs w:val="28"/>
              </w:rPr>
              <w:t>基於</w:t>
            </w:r>
            <w:r w:rsidR="00EB43EC" w:rsidRPr="00EB43EC">
              <w:rPr>
                <w:rFonts w:ascii="標楷體" w:eastAsia="標楷體" w:hAnsi="標楷體" w:cs="Courier New" w:hint="eastAsia"/>
                <w:color w:val="000000"/>
                <w:sz w:val="28"/>
                <w:szCs w:val="28"/>
              </w:rPr>
              <w:t>洗錢</w:t>
            </w:r>
            <w:r w:rsidR="00231BFD" w:rsidRPr="00EB43EC">
              <w:rPr>
                <w:rFonts w:ascii="標楷體" w:eastAsia="標楷體" w:hAnsi="標楷體" w:cs="Courier New" w:hint="eastAsia"/>
                <w:color w:val="000000"/>
                <w:sz w:val="28"/>
                <w:szCs w:val="28"/>
              </w:rPr>
              <w:t>防制及打擊</w:t>
            </w:r>
            <w:proofErr w:type="gramStart"/>
            <w:r w:rsidR="00231BFD" w:rsidRPr="00EB43EC">
              <w:rPr>
                <w:rFonts w:ascii="標楷體" w:eastAsia="標楷體" w:hAnsi="標楷體" w:cs="Courier New" w:hint="eastAsia"/>
                <w:color w:val="000000"/>
                <w:sz w:val="28"/>
                <w:szCs w:val="28"/>
              </w:rPr>
              <w:t>資恐等</w:t>
            </w:r>
            <w:proofErr w:type="gramEnd"/>
            <w:r w:rsidR="00231BFD" w:rsidRPr="00EB43EC">
              <w:rPr>
                <w:rFonts w:ascii="標楷體" w:eastAsia="標楷體" w:hAnsi="標楷體" w:cs="Courier New" w:hint="eastAsia"/>
                <w:color w:val="000000"/>
                <w:sz w:val="28"/>
                <w:szCs w:val="28"/>
              </w:rPr>
              <w:t>相關</w:t>
            </w:r>
            <w:r w:rsidR="00CE6614" w:rsidRPr="00EB43EC">
              <w:rPr>
                <w:rFonts w:ascii="標楷體" w:eastAsia="標楷體" w:hAnsi="標楷體" w:cs="Courier New" w:hint="eastAsia"/>
                <w:color w:val="000000"/>
                <w:sz w:val="28"/>
                <w:szCs w:val="28"/>
              </w:rPr>
              <w:t>法</w:t>
            </w:r>
            <w:r w:rsidR="00231BFD" w:rsidRPr="00EB43EC">
              <w:rPr>
                <w:rFonts w:ascii="標楷體" w:eastAsia="標楷體" w:hAnsi="標楷體" w:cs="Courier New" w:hint="eastAsia"/>
                <w:color w:val="000000"/>
                <w:sz w:val="28"/>
                <w:szCs w:val="28"/>
              </w:rPr>
              <w:t>規，業已針對國外匯款訂有完整之作業程序及規範，銀行自應遵守，</w:t>
            </w:r>
            <w:proofErr w:type="gramStart"/>
            <w:r w:rsidR="00231BFD" w:rsidRPr="00EB43EC">
              <w:rPr>
                <w:rFonts w:ascii="標楷體" w:eastAsia="標楷體" w:hAnsi="標楷體" w:cs="Courier New" w:hint="eastAsia"/>
                <w:color w:val="000000"/>
                <w:sz w:val="28"/>
                <w:szCs w:val="28"/>
              </w:rPr>
              <w:t>爰</w:t>
            </w:r>
            <w:proofErr w:type="gramEnd"/>
            <w:r w:rsidR="00231BFD" w:rsidRPr="00EB43EC">
              <w:rPr>
                <w:rFonts w:ascii="標楷體" w:eastAsia="標楷體" w:hAnsi="標楷體" w:cs="Courier New" w:hint="eastAsia"/>
                <w:color w:val="000000"/>
                <w:sz w:val="28"/>
                <w:szCs w:val="28"/>
              </w:rPr>
              <w:t>據以增訂第(七)款。</w:t>
            </w:r>
          </w:p>
          <w:p w:rsidR="00AE1E46" w:rsidRDefault="002C5A24" w:rsidP="002C5A24">
            <w:pPr>
              <w:pStyle w:val="ae"/>
              <w:spacing w:line="380" w:lineRule="exact"/>
              <w:ind w:leftChars="0" w:left="560" w:hangingChars="200" w:hanging="56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八</w:t>
            </w:r>
            <w:r w:rsidRPr="002C5A24">
              <w:rPr>
                <w:rFonts w:ascii="標楷體" w:eastAsia="標楷體" w:hAnsi="標楷體" w:hint="eastAsia"/>
                <w:sz w:val="28"/>
                <w:szCs w:val="28"/>
              </w:rPr>
              <w:t>、本條所稱「大型公共工程」之界定範圍，各銀行得自行認定，</w:t>
            </w:r>
            <w:proofErr w:type="gramStart"/>
            <w:r w:rsidRPr="002C5A24">
              <w:rPr>
                <w:rFonts w:ascii="標楷體" w:eastAsia="標楷體" w:hAnsi="標楷體" w:hint="eastAsia"/>
                <w:sz w:val="28"/>
                <w:szCs w:val="28"/>
              </w:rPr>
              <w:t>或亦得</w:t>
            </w:r>
            <w:proofErr w:type="gramEnd"/>
            <w:r w:rsidRPr="002C5A24">
              <w:rPr>
                <w:rFonts w:ascii="標楷體" w:eastAsia="標楷體" w:hAnsi="標楷體" w:hint="eastAsia"/>
                <w:sz w:val="28"/>
                <w:szCs w:val="28"/>
              </w:rPr>
              <w:t>參考工程會所訂「重大採購事件效益評估作業要點」第2點規定，作為適用認定標準。(目前係規定採購金額達20億元以上之案件)</w:t>
            </w:r>
          </w:p>
        </w:tc>
      </w:tr>
    </w:tbl>
    <w:p w:rsidR="003F2CBB" w:rsidRPr="00DD4656" w:rsidRDefault="003F2CBB" w:rsidP="00C22A4E">
      <w:pPr>
        <w:pStyle w:val="a3"/>
        <w:spacing w:line="460" w:lineRule="exact"/>
        <w:rPr>
          <w:rFonts w:ascii="標楷體" w:eastAsia="標楷體"/>
          <w:sz w:val="28"/>
          <w:szCs w:val="28"/>
        </w:rPr>
      </w:pPr>
    </w:p>
    <w:sectPr w:rsidR="003F2CBB" w:rsidRPr="00DD4656" w:rsidSect="007E5E1F">
      <w:footerReference w:type="even" r:id="rId7"/>
      <w:footerReference w:type="default" r:id="rId8"/>
      <w:pgSz w:w="11906" w:h="16838" w:code="9"/>
      <w:pgMar w:top="1247" w:right="1361" w:bottom="1247" w:left="1474" w:header="851" w:footer="992" w:gutter="0"/>
      <w:pgNumType w:fmt="taiwaneseCountingThousand" w:start="1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23B5" w:rsidRDefault="00EC23B5">
      <w:r>
        <w:separator/>
      </w:r>
    </w:p>
  </w:endnote>
  <w:endnote w:type="continuationSeparator" w:id="0">
    <w:p w:rsidR="00EC23B5" w:rsidRDefault="00EC23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細明體">
    <w:altName w:val="MingLiU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7080" w:rsidRDefault="00BE0D47">
    <w:pPr>
      <w:pStyle w:val="a5"/>
      <w:framePr w:w="1440" w:hSpace="737" w:wrap="around" w:vAnchor="text" w:hAnchor="margin" w:xAlign="right" w:y="1"/>
      <w:textDirection w:val="btLr"/>
      <w:rPr>
        <w:rStyle w:val="a6"/>
      </w:rPr>
    </w:pPr>
    <w:r>
      <w:rPr>
        <w:rStyle w:val="a6"/>
      </w:rPr>
      <w:fldChar w:fldCharType="begin"/>
    </w:r>
    <w:r w:rsidR="00FD7080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D7080" w:rsidRDefault="00FD7080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7080" w:rsidRDefault="00FD7080">
    <w:pPr>
      <w:pStyle w:val="a5"/>
      <w:ind w:right="360" w:firstLine="12480"/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23B5" w:rsidRDefault="00EC23B5">
      <w:r>
        <w:separator/>
      </w:r>
    </w:p>
  </w:footnote>
  <w:footnote w:type="continuationSeparator" w:id="0">
    <w:p w:rsidR="00EC23B5" w:rsidRDefault="00EC23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D620B"/>
    <w:multiLevelType w:val="hybridMultilevel"/>
    <w:tmpl w:val="C4D49764"/>
    <w:lvl w:ilvl="0" w:tplc="9D508DF8">
      <w:start w:val="5"/>
      <w:numFmt w:val="taiwaneseCountingThousand"/>
      <w:lvlText w:val="第%1條"/>
      <w:lvlJc w:val="left"/>
      <w:pPr>
        <w:tabs>
          <w:tab w:val="num" w:pos="720"/>
        </w:tabs>
        <w:ind w:left="720" w:hanging="720"/>
      </w:pPr>
      <w:rPr>
        <w:rFonts w:hint="eastAsia"/>
        <w:u w:val="single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16114517"/>
    <w:multiLevelType w:val="hybridMultilevel"/>
    <w:tmpl w:val="02445DF2"/>
    <w:lvl w:ilvl="0" w:tplc="65388B0C">
      <w:start w:val="1"/>
      <w:numFmt w:val="taiwaneseCountingThousand"/>
      <w:suff w:val="nothing"/>
      <w:lvlText w:val="(%1)"/>
      <w:lvlJc w:val="left"/>
      <w:pPr>
        <w:ind w:left="567" w:hanging="567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41C76AC"/>
    <w:multiLevelType w:val="hybridMultilevel"/>
    <w:tmpl w:val="A47A7778"/>
    <w:lvl w:ilvl="0" w:tplc="1C88D4F8">
      <w:start w:val="5"/>
      <w:numFmt w:val="taiwaneseCountingThousand"/>
      <w:lvlText w:val="第%1條"/>
      <w:lvlJc w:val="left"/>
      <w:pPr>
        <w:tabs>
          <w:tab w:val="num" w:pos="720"/>
        </w:tabs>
        <w:ind w:left="720" w:hanging="720"/>
      </w:pPr>
      <w:rPr>
        <w:rFonts w:ascii="細明體" w:hint="eastAsia"/>
        <w:u w:val="single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68B129AE"/>
    <w:multiLevelType w:val="hybridMultilevel"/>
    <w:tmpl w:val="3936478A"/>
    <w:lvl w:ilvl="0" w:tplc="40B02992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79C37973"/>
    <w:multiLevelType w:val="hybridMultilevel"/>
    <w:tmpl w:val="77B6119A"/>
    <w:lvl w:ilvl="0" w:tplc="869ED810">
      <w:start w:val="1"/>
      <w:numFmt w:val="taiwaneseCountingThousand"/>
      <w:suff w:val="nothing"/>
      <w:lvlText w:val="%1、"/>
      <w:lvlJc w:val="left"/>
      <w:pPr>
        <w:ind w:left="567" w:hanging="567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7AA26CAA"/>
    <w:multiLevelType w:val="hybridMultilevel"/>
    <w:tmpl w:val="02445DF2"/>
    <w:lvl w:ilvl="0" w:tplc="65388B0C">
      <w:start w:val="1"/>
      <w:numFmt w:val="taiwaneseCountingThousand"/>
      <w:suff w:val="nothing"/>
      <w:lvlText w:val="(%1)"/>
      <w:lvlJc w:val="left"/>
      <w:pPr>
        <w:ind w:left="567" w:hanging="567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stylePaneFormatFilter w:val="3F01"/>
  <w:defaultTabStop w:val="480"/>
  <w:displayHorizontalDrawingGridEvery w:val="0"/>
  <w:displayVerticalDrawingGridEvery w:val="2"/>
  <w:characterSpacingControl w:val="compressPunctuation"/>
  <w:hdrShapeDefaults>
    <o:shapedefaults v:ext="edit" spidmax="921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3A7F4A"/>
    <w:rsid w:val="00000F83"/>
    <w:rsid w:val="0001649F"/>
    <w:rsid w:val="0001667E"/>
    <w:rsid w:val="000422C4"/>
    <w:rsid w:val="00044644"/>
    <w:rsid w:val="00063801"/>
    <w:rsid w:val="000827F2"/>
    <w:rsid w:val="000A15C8"/>
    <w:rsid w:val="000A396F"/>
    <w:rsid w:val="000A73D2"/>
    <w:rsid w:val="000D1E18"/>
    <w:rsid w:val="000D6343"/>
    <w:rsid w:val="000F6697"/>
    <w:rsid w:val="00115EF4"/>
    <w:rsid w:val="0012135A"/>
    <w:rsid w:val="00146E60"/>
    <w:rsid w:val="00156A61"/>
    <w:rsid w:val="001649BD"/>
    <w:rsid w:val="001707A8"/>
    <w:rsid w:val="00186693"/>
    <w:rsid w:val="00192191"/>
    <w:rsid w:val="001C528A"/>
    <w:rsid w:val="001C6139"/>
    <w:rsid w:val="001E59A9"/>
    <w:rsid w:val="001E769C"/>
    <w:rsid w:val="00205E77"/>
    <w:rsid w:val="00216496"/>
    <w:rsid w:val="00231BFD"/>
    <w:rsid w:val="002931D4"/>
    <w:rsid w:val="002C1B3A"/>
    <w:rsid w:val="002C5A24"/>
    <w:rsid w:val="002E28C9"/>
    <w:rsid w:val="002F5BCA"/>
    <w:rsid w:val="00301024"/>
    <w:rsid w:val="00303005"/>
    <w:rsid w:val="00345EE4"/>
    <w:rsid w:val="00360A30"/>
    <w:rsid w:val="00373C30"/>
    <w:rsid w:val="003957F2"/>
    <w:rsid w:val="003A397C"/>
    <w:rsid w:val="003A7F4A"/>
    <w:rsid w:val="003C2CC5"/>
    <w:rsid w:val="003E7036"/>
    <w:rsid w:val="003F2CBB"/>
    <w:rsid w:val="003F5C1C"/>
    <w:rsid w:val="003F6300"/>
    <w:rsid w:val="00431BE4"/>
    <w:rsid w:val="00434014"/>
    <w:rsid w:val="00451771"/>
    <w:rsid w:val="00451C61"/>
    <w:rsid w:val="00453B10"/>
    <w:rsid w:val="00453D27"/>
    <w:rsid w:val="0046124C"/>
    <w:rsid w:val="004709C3"/>
    <w:rsid w:val="00476230"/>
    <w:rsid w:val="00476ED0"/>
    <w:rsid w:val="00477710"/>
    <w:rsid w:val="0049281A"/>
    <w:rsid w:val="00496DC2"/>
    <w:rsid w:val="004A349E"/>
    <w:rsid w:val="004A4DB6"/>
    <w:rsid w:val="004B080D"/>
    <w:rsid w:val="004D0C0C"/>
    <w:rsid w:val="004D1C85"/>
    <w:rsid w:val="004F6249"/>
    <w:rsid w:val="004F626F"/>
    <w:rsid w:val="00515A66"/>
    <w:rsid w:val="00531228"/>
    <w:rsid w:val="00543EE0"/>
    <w:rsid w:val="00585BA4"/>
    <w:rsid w:val="00585EC0"/>
    <w:rsid w:val="005A5D61"/>
    <w:rsid w:val="005A7F47"/>
    <w:rsid w:val="005B0C57"/>
    <w:rsid w:val="005C4AE0"/>
    <w:rsid w:val="005D7F59"/>
    <w:rsid w:val="005F1432"/>
    <w:rsid w:val="005F5610"/>
    <w:rsid w:val="00617456"/>
    <w:rsid w:val="00624169"/>
    <w:rsid w:val="006320D1"/>
    <w:rsid w:val="00640FD6"/>
    <w:rsid w:val="0064657A"/>
    <w:rsid w:val="00656D4B"/>
    <w:rsid w:val="00681723"/>
    <w:rsid w:val="00696EDC"/>
    <w:rsid w:val="006A5C70"/>
    <w:rsid w:val="006C0E7B"/>
    <w:rsid w:val="006C6787"/>
    <w:rsid w:val="006D3D30"/>
    <w:rsid w:val="006E0011"/>
    <w:rsid w:val="007111A9"/>
    <w:rsid w:val="007224D5"/>
    <w:rsid w:val="00726833"/>
    <w:rsid w:val="0073225E"/>
    <w:rsid w:val="00735EB6"/>
    <w:rsid w:val="00794EEB"/>
    <w:rsid w:val="007955FC"/>
    <w:rsid w:val="007B758C"/>
    <w:rsid w:val="007C1AC8"/>
    <w:rsid w:val="007C3503"/>
    <w:rsid w:val="007D3E83"/>
    <w:rsid w:val="007E5E1F"/>
    <w:rsid w:val="007F5F3E"/>
    <w:rsid w:val="0081505C"/>
    <w:rsid w:val="00825351"/>
    <w:rsid w:val="00825F72"/>
    <w:rsid w:val="008274F8"/>
    <w:rsid w:val="00840608"/>
    <w:rsid w:val="00845D2E"/>
    <w:rsid w:val="00857539"/>
    <w:rsid w:val="008651D3"/>
    <w:rsid w:val="00877BD8"/>
    <w:rsid w:val="0089428B"/>
    <w:rsid w:val="008A7AE8"/>
    <w:rsid w:val="008B353B"/>
    <w:rsid w:val="008B64E3"/>
    <w:rsid w:val="008D0685"/>
    <w:rsid w:val="008D28FC"/>
    <w:rsid w:val="008D432D"/>
    <w:rsid w:val="008E6ABB"/>
    <w:rsid w:val="008F4C9F"/>
    <w:rsid w:val="008F6EC7"/>
    <w:rsid w:val="00913266"/>
    <w:rsid w:val="00915236"/>
    <w:rsid w:val="0094095F"/>
    <w:rsid w:val="009440E3"/>
    <w:rsid w:val="00946B1D"/>
    <w:rsid w:val="00953C34"/>
    <w:rsid w:val="009A6681"/>
    <w:rsid w:val="009B3C6E"/>
    <w:rsid w:val="009C7095"/>
    <w:rsid w:val="009D39B2"/>
    <w:rsid w:val="009E6A46"/>
    <w:rsid w:val="009F34F6"/>
    <w:rsid w:val="00A012E1"/>
    <w:rsid w:val="00A03D74"/>
    <w:rsid w:val="00A05150"/>
    <w:rsid w:val="00A238C3"/>
    <w:rsid w:val="00A5672A"/>
    <w:rsid w:val="00A75096"/>
    <w:rsid w:val="00AA250B"/>
    <w:rsid w:val="00AA6BC2"/>
    <w:rsid w:val="00AE1E46"/>
    <w:rsid w:val="00B846EF"/>
    <w:rsid w:val="00B97747"/>
    <w:rsid w:val="00BA5B78"/>
    <w:rsid w:val="00BB49EB"/>
    <w:rsid w:val="00BC2379"/>
    <w:rsid w:val="00BC6FC7"/>
    <w:rsid w:val="00BE05BD"/>
    <w:rsid w:val="00BE0D47"/>
    <w:rsid w:val="00BE1B2F"/>
    <w:rsid w:val="00BE29D5"/>
    <w:rsid w:val="00BE41A4"/>
    <w:rsid w:val="00C026BC"/>
    <w:rsid w:val="00C14268"/>
    <w:rsid w:val="00C1641F"/>
    <w:rsid w:val="00C22A4E"/>
    <w:rsid w:val="00C57D88"/>
    <w:rsid w:val="00C75772"/>
    <w:rsid w:val="00C87779"/>
    <w:rsid w:val="00CA6389"/>
    <w:rsid w:val="00CB033E"/>
    <w:rsid w:val="00CC21B1"/>
    <w:rsid w:val="00CC29B3"/>
    <w:rsid w:val="00CE0906"/>
    <w:rsid w:val="00CE4127"/>
    <w:rsid w:val="00CE6296"/>
    <w:rsid w:val="00CE6614"/>
    <w:rsid w:val="00CF5426"/>
    <w:rsid w:val="00CF5664"/>
    <w:rsid w:val="00D20E9D"/>
    <w:rsid w:val="00D313D9"/>
    <w:rsid w:val="00D31D03"/>
    <w:rsid w:val="00D4643E"/>
    <w:rsid w:val="00D51ACE"/>
    <w:rsid w:val="00D60C09"/>
    <w:rsid w:val="00D72E83"/>
    <w:rsid w:val="00D72F74"/>
    <w:rsid w:val="00D74497"/>
    <w:rsid w:val="00D77B4B"/>
    <w:rsid w:val="00D91FBE"/>
    <w:rsid w:val="00D938CF"/>
    <w:rsid w:val="00DB08D6"/>
    <w:rsid w:val="00DB359B"/>
    <w:rsid w:val="00DB4F2E"/>
    <w:rsid w:val="00DD0F76"/>
    <w:rsid w:val="00DD4656"/>
    <w:rsid w:val="00DE3C44"/>
    <w:rsid w:val="00DE66C7"/>
    <w:rsid w:val="00DF244E"/>
    <w:rsid w:val="00DF47F5"/>
    <w:rsid w:val="00E044CC"/>
    <w:rsid w:val="00E2027B"/>
    <w:rsid w:val="00E2743D"/>
    <w:rsid w:val="00E3335E"/>
    <w:rsid w:val="00E706B6"/>
    <w:rsid w:val="00E846F2"/>
    <w:rsid w:val="00EA16CB"/>
    <w:rsid w:val="00EA27D7"/>
    <w:rsid w:val="00EA49A6"/>
    <w:rsid w:val="00EA6F67"/>
    <w:rsid w:val="00EB43EC"/>
    <w:rsid w:val="00EB7E7F"/>
    <w:rsid w:val="00EC1B8F"/>
    <w:rsid w:val="00EC23B5"/>
    <w:rsid w:val="00EE0954"/>
    <w:rsid w:val="00EE7115"/>
    <w:rsid w:val="00F1504D"/>
    <w:rsid w:val="00F16054"/>
    <w:rsid w:val="00F30FD4"/>
    <w:rsid w:val="00F335CB"/>
    <w:rsid w:val="00F363FC"/>
    <w:rsid w:val="00F40AD8"/>
    <w:rsid w:val="00F42A79"/>
    <w:rsid w:val="00F733AD"/>
    <w:rsid w:val="00F83CE3"/>
    <w:rsid w:val="00F94115"/>
    <w:rsid w:val="00F9654F"/>
    <w:rsid w:val="00FA2201"/>
    <w:rsid w:val="00FD232C"/>
    <w:rsid w:val="00FD7080"/>
    <w:rsid w:val="00FE1E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5F72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825F72"/>
    <w:rPr>
      <w:rFonts w:ascii="細明體" w:eastAsia="細明體" w:hAnsi="Courier New" w:cs="標楷體"/>
    </w:rPr>
  </w:style>
  <w:style w:type="paragraph" w:styleId="a5">
    <w:name w:val="footer"/>
    <w:basedOn w:val="a"/>
    <w:rsid w:val="00825F7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825F72"/>
  </w:style>
  <w:style w:type="paragraph" w:styleId="a7">
    <w:name w:val="header"/>
    <w:basedOn w:val="a"/>
    <w:link w:val="a8"/>
    <w:uiPriority w:val="99"/>
    <w:rsid w:val="00825F7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Body Text Indent"/>
    <w:basedOn w:val="a"/>
    <w:rsid w:val="00825F72"/>
    <w:pPr>
      <w:ind w:leftChars="600" w:left="1680" w:hangingChars="100" w:hanging="240"/>
    </w:pPr>
    <w:rPr>
      <w:rFonts w:eastAsia="標楷體"/>
      <w:color w:val="000000"/>
      <w:u w:val="single"/>
    </w:rPr>
  </w:style>
  <w:style w:type="character" w:styleId="aa">
    <w:name w:val="annotation reference"/>
    <w:basedOn w:val="a0"/>
    <w:semiHidden/>
    <w:rsid w:val="00825F72"/>
    <w:rPr>
      <w:sz w:val="18"/>
      <w:szCs w:val="18"/>
    </w:rPr>
  </w:style>
  <w:style w:type="paragraph" w:styleId="ab">
    <w:name w:val="annotation text"/>
    <w:basedOn w:val="a"/>
    <w:semiHidden/>
    <w:rsid w:val="00825F72"/>
  </w:style>
  <w:style w:type="paragraph" w:styleId="2">
    <w:name w:val="Body Text Indent 2"/>
    <w:basedOn w:val="a"/>
    <w:rsid w:val="00825F72"/>
    <w:pPr>
      <w:snapToGrid w:val="0"/>
      <w:spacing w:line="200" w:lineRule="atLeast"/>
      <w:ind w:leftChars="52" w:left="331" w:hangingChars="86" w:hanging="206"/>
    </w:pPr>
    <w:rPr>
      <w:rFonts w:ascii="標楷體" w:eastAsia="標楷體"/>
    </w:rPr>
  </w:style>
  <w:style w:type="paragraph" w:styleId="ac">
    <w:name w:val="Balloon Text"/>
    <w:basedOn w:val="a"/>
    <w:semiHidden/>
    <w:rsid w:val="00825F72"/>
    <w:rPr>
      <w:rFonts w:ascii="Arial" w:hAnsi="Arial"/>
      <w:sz w:val="18"/>
      <w:szCs w:val="18"/>
    </w:rPr>
  </w:style>
  <w:style w:type="character" w:customStyle="1" w:styleId="a8">
    <w:name w:val="頁首 字元"/>
    <w:basedOn w:val="a0"/>
    <w:link w:val="a7"/>
    <w:uiPriority w:val="99"/>
    <w:rsid w:val="00656D4B"/>
    <w:rPr>
      <w:kern w:val="2"/>
    </w:rPr>
  </w:style>
  <w:style w:type="character" w:customStyle="1" w:styleId="a4">
    <w:name w:val="純文字 字元"/>
    <w:basedOn w:val="a0"/>
    <w:link w:val="a3"/>
    <w:rsid w:val="00656D4B"/>
    <w:rPr>
      <w:rFonts w:ascii="細明體" w:eastAsia="細明體" w:hAnsi="Courier New" w:cs="標楷體"/>
      <w:kern w:val="2"/>
      <w:sz w:val="24"/>
      <w:szCs w:val="24"/>
    </w:rPr>
  </w:style>
  <w:style w:type="character" w:styleId="ad">
    <w:name w:val="Hyperlink"/>
    <w:basedOn w:val="a0"/>
    <w:rsid w:val="00451771"/>
    <w:rPr>
      <w:color w:val="0000FF" w:themeColor="hyperlink"/>
      <w:u w:val="single"/>
    </w:rPr>
  </w:style>
  <w:style w:type="paragraph" w:styleId="ae">
    <w:name w:val="List Paragraph"/>
    <w:basedOn w:val="a"/>
    <w:uiPriority w:val="34"/>
    <w:qFormat/>
    <w:rsid w:val="001E59A9"/>
    <w:pPr>
      <w:ind w:leftChars="200" w:left="4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228</Words>
  <Characters>1302</Characters>
  <Application>Microsoft Office Word</Application>
  <DocSecurity>0</DocSecurity>
  <Lines>10</Lines>
  <Paragraphs>3</Paragraphs>
  <ScaleCrop>false</ScaleCrop>
  <Company>銀行公會</Company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﹁銀行連帶保證契約答客問宣導摺頁﹂草案（第一次報部版）</dc:title>
  <dc:creator>銀行公會</dc:creator>
  <cp:lastModifiedBy>user3310</cp:lastModifiedBy>
  <cp:revision>15</cp:revision>
  <cp:lastPrinted>2017-12-20T09:23:00Z</cp:lastPrinted>
  <dcterms:created xsi:type="dcterms:W3CDTF">2017-12-20T06:29:00Z</dcterms:created>
  <dcterms:modified xsi:type="dcterms:W3CDTF">2018-01-19T06:03:00Z</dcterms:modified>
</cp:coreProperties>
</file>