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61" w:rsidRDefault="003F2CBB" w:rsidP="003D40A1">
      <w:pPr>
        <w:pStyle w:val="aa"/>
        <w:spacing w:afterLines="50" w:line="540" w:lineRule="exact"/>
        <w:ind w:leftChars="0" w:left="320" w:hanging="320"/>
        <w:jc w:val="center"/>
        <w:rPr>
          <w:rFonts w:ascii="標楷體" w:hint="eastAsia"/>
          <w:b/>
          <w:sz w:val="32"/>
          <w:u w:val="none"/>
        </w:rPr>
      </w:pPr>
      <w:r w:rsidRPr="003F2CBB">
        <w:rPr>
          <w:rFonts w:ascii="標楷體" w:hint="eastAsia"/>
          <w:b/>
          <w:sz w:val="32"/>
          <w:u w:val="none"/>
        </w:rPr>
        <w:t>中華民國銀行公會會員</w:t>
      </w:r>
      <w:r w:rsidR="007C1AC8">
        <w:rPr>
          <w:rFonts w:ascii="標楷體" w:hint="eastAsia"/>
          <w:b/>
          <w:sz w:val="32"/>
          <w:u w:val="none"/>
        </w:rPr>
        <w:t>授</w:t>
      </w:r>
      <w:r w:rsidRPr="003F2CBB">
        <w:rPr>
          <w:rFonts w:ascii="標楷體" w:hint="eastAsia"/>
          <w:b/>
          <w:sz w:val="32"/>
          <w:u w:val="none"/>
        </w:rPr>
        <w:t>信準則</w:t>
      </w:r>
      <w:r w:rsidR="0011603E">
        <w:rPr>
          <w:rFonts w:ascii="標楷體" w:hint="eastAsia"/>
          <w:b/>
          <w:sz w:val="32"/>
          <w:u w:val="none"/>
        </w:rPr>
        <w:t>部分規定</w:t>
      </w:r>
      <w:r w:rsidR="005920EE">
        <w:rPr>
          <w:rFonts w:ascii="標楷體" w:hint="eastAsia"/>
          <w:b/>
          <w:sz w:val="32"/>
          <w:u w:val="none"/>
        </w:rPr>
        <w:t>條文</w:t>
      </w:r>
      <w:r w:rsidR="007A1A09">
        <w:rPr>
          <w:rFonts w:ascii="標楷體" w:hint="eastAsia"/>
          <w:b/>
          <w:sz w:val="32"/>
          <w:u w:val="none"/>
        </w:rPr>
        <w:t>對照表</w:t>
      </w:r>
    </w:p>
    <w:p w:rsidR="003D40A1" w:rsidRPr="003D40A1" w:rsidRDefault="003D40A1" w:rsidP="003D40A1">
      <w:pPr>
        <w:pStyle w:val="aa"/>
        <w:tabs>
          <w:tab w:val="left" w:pos="3544"/>
        </w:tabs>
        <w:spacing w:afterLines="50" w:line="540" w:lineRule="exact"/>
        <w:ind w:leftChars="0" w:left="240"/>
        <w:jc w:val="right"/>
        <w:rPr>
          <w:rFonts w:ascii="標楷體"/>
          <w:b/>
          <w:u w:val="none"/>
        </w:rPr>
      </w:pPr>
      <w:r>
        <w:rPr>
          <w:rFonts w:ascii="標楷體" w:hint="eastAsia"/>
          <w:b/>
          <w:u w:val="none"/>
        </w:rPr>
        <w:t>金管會</w:t>
      </w:r>
      <w:r>
        <w:rPr>
          <w:u w:val="none"/>
          <w:shd w:val="clear" w:color="auto" w:fill="FFFFFF"/>
        </w:rPr>
        <w:t>107</w:t>
      </w:r>
      <w:r>
        <w:rPr>
          <w:rFonts w:hint="eastAsia"/>
          <w:u w:val="none"/>
          <w:shd w:val="clear" w:color="auto" w:fill="FFFFFF"/>
        </w:rPr>
        <w:t>年</w:t>
      </w:r>
      <w:r>
        <w:rPr>
          <w:u w:val="none"/>
          <w:shd w:val="clear" w:color="auto" w:fill="FFFFFF"/>
        </w:rPr>
        <w:t>8</w:t>
      </w:r>
      <w:r>
        <w:rPr>
          <w:rFonts w:hint="eastAsia"/>
          <w:u w:val="none"/>
          <w:shd w:val="clear" w:color="auto" w:fill="FFFFFF"/>
        </w:rPr>
        <w:t>月</w:t>
      </w:r>
      <w:r>
        <w:rPr>
          <w:u w:val="none"/>
          <w:shd w:val="clear" w:color="auto" w:fill="FFFFFF"/>
        </w:rPr>
        <w:t>17</w:t>
      </w:r>
      <w:r>
        <w:rPr>
          <w:rFonts w:hint="eastAsia"/>
          <w:u w:val="none"/>
          <w:shd w:val="clear" w:color="auto" w:fill="FFFFFF"/>
        </w:rPr>
        <w:t>日金管銀國字第</w:t>
      </w:r>
      <w:r>
        <w:rPr>
          <w:u w:val="none"/>
          <w:shd w:val="clear" w:color="auto" w:fill="FFFFFF"/>
        </w:rPr>
        <w:t>10701142970</w:t>
      </w:r>
      <w:r>
        <w:rPr>
          <w:rFonts w:hint="eastAsia"/>
          <w:u w:val="none"/>
          <w:shd w:val="clear" w:color="auto" w:fill="FFFFFF"/>
        </w:rPr>
        <w:t>號函</w:t>
      </w:r>
      <w:r w:rsidRPr="003D40A1">
        <w:rPr>
          <w:u w:val="none"/>
        </w:rPr>
        <w:t>同意備查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6"/>
        <w:gridCol w:w="3467"/>
        <w:gridCol w:w="2921"/>
      </w:tblGrid>
      <w:tr w:rsidR="00A35896" w:rsidRPr="003F2CBB" w:rsidTr="001078B9">
        <w:trPr>
          <w:trHeight w:hRule="exact" w:val="624"/>
          <w:tblHeader/>
        </w:trPr>
        <w:tc>
          <w:tcPr>
            <w:tcW w:w="1759" w:type="pct"/>
            <w:shd w:val="clear" w:color="auto" w:fill="FFFFCC"/>
            <w:vAlign w:val="center"/>
          </w:tcPr>
          <w:p w:rsidR="00A35896" w:rsidRPr="00E2027B" w:rsidRDefault="00A35896" w:rsidP="001078B9">
            <w:pPr>
              <w:pStyle w:val="aa"/>
              <w:spacing w:line="380" w:lineRule="exact"/>
              <w:ind w:leftChars="0" w:left="280" w:hanging="280"/>
              <w:jc w:val="center"/>
              <w:rPr>
                <w:rFonts w:ascii="標楷體"/>
                <w:color w:val="auto"/>
                <w:sz w:val="28"/>
                <w:szCs w:val="28"/>
                <w:u w:val="none"/>
              </w:rPr>
            </w:pPr>
            <w:r>
              <w:rPr>
                <w:rFonts w:ascii="標楷體" w:hint="eastAsia"/>
                <w:color w:val="auto"/>
                <w:sz w:val="28"/>
                <w:szCs w:val="28"/>
                <w:u w:val="none"/>
              </w:rPr>
              <w:t>修正</w:t>
            </w:r>
            <w:r w:rsidRPr="00E2027B">
              <w:rPr>
                <w:rFonts w:ascii="標楷體" w:hint="eastAsia"/>
                <w:color w:val="auto"/>
                <w:sz w:val="28"/>
                <w:szCs w:val="28"/>
                <w:u w:val="none"/>
              </w:rPr>
              <w:t>條文</w:t>
            </w:r>
          </w:p>
        </w:tc>
        <w:tc>
          <w:tcPr>
            <w:tcW w:w="1759" w:type="pct"/>
            <w:shd w:val="clear" w:color="auto" w:fill="FFFFCC"/>
            <w:vAlign w:val="center"/>
          </w:tcPr>
          <w:p w:rsidR="00A35896" w:rsidRPr="001E59A9" w:rsidRDefault="00A35896" w:rsidP="001078B9">
            <w:pPr>
              <w:pStyle w:val="aa"/>
              <w:spacing w:line="380" w:lineRule="exact"/>
              <w:ind w:leftChars="0" w:left="280" w:hanging="280"/>
              <w:jc w:val="center"/>
              <w:rPr>
                <w:rFonts w:ascii="標楷體"/>
                <w:sz w:val="28"/>
                <w:szCs w:val="28"/>
                <w:u w:val="none"/>
              </w:rPr>
            </w:pPr>
            <w:r>
              <w:rPr>
                <w:rFonts w:ascii="標楷體" w:hint="eastAsia"/>
                <w:color w:val="auto"/>
                <w:sz w:val="28"/>
                <w:szCs w:val="28"/>
                <w:u w:val="none"/>
              </w:rPr>
              <w:t>現行</w:t>
            </w:r>
            <w:r w:rsidRPr="00E2027B">
              <w:rPr>
                <w:rFonts w:ascii="標楷體" w:hint="eastAsia"/>
                <w:color w:val="auto"/>
                <w:sz w:val="28"/>
                <w:szCs w:val="28"/>
                <w:u w:val="none"/>
              </w:rPr>
              <w:t>條文</w:t>
            </w:r>
          </w:p>
        </w:tc>
        <w:tc>
          <w:tcPr>
            <w:tcW w:w="1482" w:type="pct"/>
            <w:shd w:val="clear" w:color="auto" w:fill="FFFFCC"/>
            <w:vAlign w:val="center"/>
          </w:tcPr>
          <w:p w:rsidR="00A35896" w:rsidRPr="001E59A9" w:rsidRDefault="00A35896" w:rsidP="001078B9">
            <w:pPr>
              <w:pStyle w:val="aa"/>
              <w:spacing w:line="380" w:lineRule="exact"/>
              <w:ind w:leftChars="0" w:left="280" w:hanging="280"/>
              <w:jc w:val="center"/>
              <w:rPr>
                <w:rFonts w:ascii="標楷體"/>
                <w:sz w:val="28"/>
                <w:szCs w:val="28"/>
                <w:u w:val="none"/>
              </w:rPr>
            </w:pPr>
            <w:r w:rsidRPr="001E59A9">
              <w:rPr>
                <w:rFonts w:ascii="標楷體" w:hint="eastAsia"/>
                <w:sz w:val="28"/>
                <w:szCs w:val="28"/>
                <w:u w:val="none"/>
              </w:rPr>
              <w:t>說明</w:t>
            </w:r>
          </w:p>
        </w:tc>
      </w:tr>
      <w:tr w:rsidR="00C67FEF" w:rsidRPr="003F2CBB" w:rsidTr="007F0A23">
        <w:tc>
          <w:tcPr>
            <w:tcW w:w="1759" w:type="pct"/>
          </w:tcPr>
          <w:p w:rsidR="00C67FEF" w:rsidRPr="006966BA" w:rsidRDefault="00C67FEF" w:rsidP="00CC4E45">
            <w:pPr>
              <w:pStyle w:val="aa"/>
              <w:spacing w:before="100" w:line="380" w:lineRule="exact"/>
              <w:ind w:leftChars="0" w:left="0" w:firstLineChars="0" w:firstLine="0"/>
              <w:jc w:val="both"/>
              <w:rPr>
                <w:rFonts w:ascii="標楷體"/>
                <w:color w:val="auto"/>
                <w:sz w:val="28"/>
                <w:szCs w:val="28"/>
                <w:u w:val="none"/>
              </w:rPr>
            </w:pPr>
            <w:r w:rsidRPr="006966BA">
              <w:rPr>
                <w:rFonts w:ascii="標楷體" w:hint="eastAsia"/>
                <w:bCs/>
                <w:color w:val="auto"/>
                <w:sz w:val="28"/>
                <w:szCs w:val="28"/>
                <w:u w:val="none"/>
              </w:rPr>
              <w:t>第20條之1</w:t>
            </w:r>
            <w:r w:rsidRPr="006966BA">
              <w:rPr>
                <w:rFonts w:ascii="標楷體" w:hint="eastAsia"/>
                <w:color w:val="auto"/>
                <w:sz w:val="28"/>
                <w:szCs w:val="28"/>
                <w:u w:val="none"/>
              </w:rPr>
              <w:t xml:space="preserve"> </w:t>
            </w:r>
          </w:p>
          <w:p w:rsidR="00C67FEF" w:rsidRPr="006966BA" w:rsidRDefault="00C67FEF" w:rsidP="00CC4E45">
            <w:pPr>
              <w:pStyle w:val="aa"/>
              <w:spacing w:before="100" w:line="380" w:lineRule="exact"/>
              <w:ind w:leftChars="0" w:left="0" w:firstLineChars="0" w:firstLine="0"/>
              <w:jc w:val="both"/>
              <w:rPr>
                <w:rFonts w:ascii="標楷體"/>
                <w:color w:val="auto"/>
                <w:sz w:val="28"/>
                <w:szCs w:val="28"/>
                <w:u w:val="none"/>
              </w:rPr>
            </w:pPr>
            <w:r w:rsidRPr="00801627">
              <w:rPr>
                <w:rFonts w:ascii="標楷體" w:hint="eastAsia"/>
                <w:b/>
                <w:color w:val="auto"/>
                <w:sz w:val="28"/>
                <w:szCs w:val="28"/>
              </w:rPr>
              <w:t>會員</w:t>
            </w:r>
            <w:r w:rsidRPr="006966BA">
              <w:rPr>
                <w:rFonts w:ascii="標楷體" w:hint="eastAsia"/>
                <w:color w:val="auto"/>
                <w:sz w:val="28"/>
                <w:szCs w:val="28"/>
                <w:u w:val="none"/>
              </w:rPr>
              <w:t>承作專案融資除應依一般徵、授信規範辦理外，應遵循下列原則</w:t>
            </w:r>
            <w:r w:rsidRPr="00801627">
              <w:rPr>
                <w:rFonts w:ascii="標楷體" w:hint="eastAsia"/>
                <w:b/>
                <w:color w:val="auto"/>
                <w:sz w:val="28"/>
                <w:szCs w:val="28"/>
              </w:rPr>
              <w:t>，並訂定內部管理規定</w:t>
            </w:r>
            <w:r w:rsidRPr="006966BA">
              <w:rPr>
                <w:rFonts w:ascii="標楷體" w:hint="eastAsia"/>
                <w:color w:val="auto"/>
                <w:sz w:val="28"/>
                <w:szCs w:val="28"/>
                <w:u w:val="none"/>
              </w:rPr>
              <w:t>:</w:t>
            </w:r>
          </w:p>
          <w:p w:rsidR="00C67FEF" w:rsidRPr="006966BA" w:rsidRDefault="00C67FEF" w:rsidP="00CC4E45">
            <w:pPr>
              <w:pStyle w:val="aa"/>
              <w:numPr>
                <w:ilvl w:val="0"/>
                <w:numId w:val="3"/>
              </w:numPr>
              <w:spacing w:before="100" w:line="380" w:lineRule="exact"/>
              <w:ind w:leftChars="0" w:firstLineChars="0"/>
              <w:jc w:val="both"/>
              <w:rPr>
                <w:rFonts w:ascii="標楷體"/>
                <w:color w:val="auto"/>
                <w:sz w:val="28"/>
                <w:szCs w:val="28"/>
                <w:u w:val="none"/>
              </w:rPr>
            </w:pPr>
            <w:r w:rsidRPr="006966BA">
              <w:rPr>
                <w:rFonts w:ascii="標楷體" w:hint="eastAsia"/>
                <w:color w:val="auto"/>
                <w:sz w:val="28"/>
                <w:szCs w:val="28"/>
                <w:u w:val="none"/>
              </w:rPr>
              <w:t>確認專案投資計畫是否適用專案融資。</w:t>
            </w:r>
          </w:p>
          <w:p w:rsidR="00C67FEF" w:rsidRPr="006966BA" w:rsidRDefault="00C67FEF" w:rsidP="00CC4E45">
            <w:pPr>
              <w:pStyle w:val="aa"/>
              <w:numPr>
                <w:ilvl w:val="0"/>
                <w:numId w:val="3"/>
              </w:numPr>
              <w:spacing w:before="100" w:line="380" w:lineRule="exact"/>
              <w:ind w:leftChars="0" w:firstLineChars="0"/>
              <w:jc w:val="both"/>
              <w:rPr>
                <w:rFonts w:ascii="標楷體"/>
                <w:color w:val="auto"/>
                <w:sz w:val="28"/>
                <w:szCs w:val="28"/>
                <w:u w:val="none"/>
              </w:rPr>
            </w:pPr>
            <w:r w:rsidRPr="006966BA">
              <w:rPr>
                <w:rFonts w:ascii="標楷體" w:hint="eastAsia"/>
                <w:color w:val="auto"/>
                <w:sz w:val="28"/>
                <w:szCs w:val="28"/>
                <w:u w:val="none"/>
              </w:rPr>
              <w:t>辦理盡職調查(Due Diligence)，就專案計畫之財務、法律、保險、</w:t>
            </w:r>
            <w:r w:rsidRPr="006966BA">
              <w:rPr>
                <w:rFonts w:ascii="標楷體" w:hint="eastAsia"/>
                <w:color w:val="auto"/>
                <w:sz w:val="28"/>
                <w:szCs w:val="28"/>
              </w:rPr>
              <w:t>技術</w:t>
            </w:r>
            <w:r w:rsidRPr="006966BA">
              <w:rPr>
                <w:rFonts w:ascii="標楷體" w:hint="eastAsia"/>
                <w:color w:val="auto"/>
                <w:sz w:val="28"/>
                <w:szCs w:val="28"/>
                <w:u w:val="none"/>
              </w:rPr>
              <w:t>等方面進行可行性及風險評估，必要時，應委託</w:t>
            </w:r>
            <w:r w:rsidRPr="00801627">
              <w:rPr>
                <w:rFonts w:ascii="標楷體" w:hint="eastAsia"/>
                <w:b/>
                <w:color w:val="auto"/>
                <w:sz w:val="28"/>
                <w:szCs w:val="28"/>
              </w:rPr>
              <w:t>外部專家(如律師、會計師等)、</w:t>
            </w:r>
            <w:r w:rsidRPr="006966BA">
              <w:rPr>
                <w:rFonts w:ascii="標楷體" w:hint="eastAsia"/>
                <w:color w:val="auto"/>
                <w:sz w:val="28"/>
                <w:szCs w:val="28"/>
                <w:u w:val="none"/>
              </w:rPr>
              <w:t>專業顧問公司或第三方檢測驗證機構出具評估報告。銀行經審慎評估該報告之合理性後，得將該評估報告作為自行之可行性及風險評估報告，或依其自行評估結果酌予修正後採用之。如屬機密性公共工程融資案件，應由政府有關部門或其指定之專業顧問公司出具評估報告，且銀行得逕行採用該評估報告作為徵審之參考依據。</w:t>
            </w:r>
          </w:p>
          <w:p w:rsidR="00C67FEF" w:rsidRPr="006966BA" w:rsidRDefault="00C67FEF" w:rsidP="0092072B">
            <w:pPr>
              <w:pStyle w:val="aa"/>
              <w:spacing w:before="100" w:line="380" w:lineRule="exact"/>
              <w:ind w:leftChars="0" w:left="560" w:hangingChars="200" w:hanging="560"/>
              <w:jc w:val="both"/>
              <w:rPr>
                <w:rFonts w:ascii="標楷體"/>
                <w:color w:val="auto"/>
                <w:sz w:val="28"/>
                <w:szCs w:val="28"/>
                <w:u w:val="none"/>
              </w:rPr>
            </w:pPr>
            <w:r w:rsidRPr="006966BA">
              <w:rPr>
                <w:rFonts w:ascii="標楷體" w:hint="eastAsia"/>
                <w:color w:val="auto"/>
                <w:sz w:val="28"/>
                <w:szCs w:val="28"/>
                <w:u w:val="none"/>
              </w:rPr>
              <w:lastRenderedPageBreak/>
              <w:t>(三)辦理專案融資風險評估時，應加強注意評估下列事項：</w:t>
            </w:r>
          </w:p>
          <w:p w:rsidR="00C67FEF" w:rsidRPr="006966BA" w:rsidRDefault="00C67FEF" w:rsidP="00CC4E45">
            <w:pPr>
              <w:pStyle w:val="aa"/>
              <w:spacing w:before="100" w:line="380" w:lineRule="exact"/>
              <w:ind w:leftChars="100" w:left="520" w:hanging="280"/>
              <w:jc w:val="both"/>
              <w:rPr>
                <w:rFonts w:ascii="標楷體"/>
                <w:color w:val="auto"/>
                <w:sz w:val="28"/>
                <w:szCs w:val="28"/>
                <w:u w:val="none"/>
              </w:rPr>
            </w:pPr>
            <w:r w:rsidRPr="006966BA">
              <w:rPr>
                <w:rFonts w:ascii="標楷體" w:hint="eastAsia"/>
                <w:color w:val="auto"/>
                <w:sz w:val="28"/>
                <w:szCs w:val="28"/>
                <w:u w:val="none"/>
              </w:rPr>
              <w:t>1.借款人之主要股東、專案之投資人、發起人及其專案執行之能力</w:t>
            </w:r>
            <w:r w:rsidRPr="00801627">
              <w:rPr>
                <w:rFonts w:ascii="標楷體" w:hint="eastAsia"/>
                <w:b/>
                <w:color w:val="auto"/>
                <w:sz w:val="28"/>
                <w:szCs w:val="28"/>
              </w:rPr>
              <w:t>及資力</w:t>
            </w:r>
            <w:r w:rsidRPr="006966BA">
              <w:rPr>
                <w:rFonts w:ascii="標楷體" w:hint="eastAsia"/>
                <w:color w:val="auto"/>
                <w:sz w:val="28"/>
                <w:szCs w:val="28"/>
                <w:u w:val="none"/>
              </w:rPr>
              <w:t>、過往實績</w:t>
            </w:r>
            <w:r w:rsidRPr="00801627">
              <w:rPr>
                <w:rFonts w:ascii="標楷體" w:hint="eastAsia"/>
                <w:b/>
                <w:color w:val="auto"/>
                <w:sz w:val="28"/>
                <w:szCs w:val="28"/>
              </w:rPr>
              <w:t>及經營誠信</w:t>
            </w:r>
            <w:r w:rsidRPr="006966BA">
              <w:rPr>
                <w:rFonts w:ascii="標楷體" w:hint="eastAsia"/>
                <w:color w:val="auto"/>
                <w:sz w:val="28"/>
                <w:szCs w:val="28"/>
                <w:u w:val="none"/>
              </w:rPr>
              <w:t>等。</w:t>
            </w:r>
          </w:p>
          <w:p w:rsidR="00C67FEF" w:rsidRPr="006966BA" w:rsidRDefault="00C67FEF" w:rsidP="00CC4E45">
            <w:pPr>
              <w:pStyle w:val="aa"/>
              <w:spacing w:before="100" w:line="380" w:lineRule="exact"/>
              <w:ind w:leftChars="100" w:left="520" w:hanging="280"/>
              <w:jc w:val="both"/>
              <w:rPr>
                <w:rFonts w:ascii="標楷體"/>
                <w:color w:val="auto"/>
                <w:sz w:val="28"/>
                <w:szCs w:val="28"/>
                <w:u w:val="none"/>
              </w:rPr>
            </w:pPr>
            <w:r w:rsidRPr="006966BA">
              <w:rPr>
                <w:rFonts w:ascii="標楷體" w:hint="eastAsia"/>
                <w:color w:val="auto"/>
                <w:sz w:val="28"/>
                <w:szCs w:val="28"/>
                <w:u w:val="none"/>
              </w:rPr>
              <w:t>2.資金用途應</w:t>
            </w:r>
            <w:r w:rsidR="00894A41" w:rsidRPr="006966BA">
              <w:rPr>
                <w:rFonts w:ascii="標楷體" w:hint="eastAsia"/>
                <w:color w:val="auto"/>
                <w:sz w:val="28"/>
                <w:szCs w:val="28"/>
                <w:u w:val="none"/>
              </w:rPr>
              <w:t>評估各項成本及費用支出之合理性</w:t>
            </w:r>
            <w:r w:rsidR="00894A41" w:rsidRPr="00801627">
              <w:rPr>
                <w:rFonts w:ascii="標楷體" w:hint="eastAsia"/>
                <w:b/>
                <w:color w:val="auto"/>
                <w:sz w:val="28"/>
                <w:szCs w:val="28"/>
              </w:rPr>
              <w:t>，並</w:t>
            </w:r>
            <w:r w:rsidRPr="00801627">
              <w:rPr>
                <w:rFonts w:ascii="標楷體" w:hint="eastAsia"/>
                <w:b/>
                <w:color w:val="auto"/>
                <w:sz w:val="28"/>
                <w:szCs w:val="28"/>
              </w:rPr>
              <w:t>就整體財務規劃覈實評估借款人資金缺口，以合理規劃授信額度</w:t>
            </w:r>
            <w:r w:rsidRPr="006966BA">
              <w:rPr>
                <w:rFonts w:ascii="標楷體" w:hint="eastAsia"/>
                <w:color w:val="auto"/>
                <w:sz w:val="28"/>
                <w:szCs w:val="28"/>
                <w:u w:val="none"/>
              </w:rPr>
              <w:t>。</w:t>
            </w:r>
          </w:p>
          <w:p w:rsidR="00C67FEF" w:rsidRPr="006966BA" w:rsidRDefault="00C67FEF" w:rsidP="00CC4E45">
            <w:pPr>
              <w:pStyle w:val="aa"/>
              <w:spacing w:before="100" w:line="380" w:lineRule="exact"/>
              <w:ind w:leftChars="100" w:left="520" w:hanging="280"/>
              <w:jc w:val="both"/>
              <w:rPr>
                <w:rFonts w:ascii="標楷體"/>
                <w:color w:val="auto"/>
                <w:sz w:val="28"/>
                <w:szCs w:val="28"/>
                <w:u w:val="none"/>
              </w:rPr>
            </w:pPr>
            <w:r w:rsidRPr="006966BA">
              <w:rPr>
                <w:rFonts w:ascii="標楷體" w:hint="eastAsia"/>
                <w:color w:val="auto"/>
                <w:sz w:val="28"/>
                <w:szCs w:val="28"/>
                <w:u w:val="none"/>
              </w:rPr>
              <w:t>3.還款來源應評估財務假設</w:t>
            </w:r>
            <w:r w:rsidRPr="00801627">
              <w:rPr>
                <w:rFonts w:ascii="標楷體" w:hint="eastAsia"/>
                <w:b/>
                <w:color w:val="auto"/>
                <w:sz w:val="28"/>
                <w:szCs w:val="28"/>
              </w:rPr>
              <w:t>、</w:t>
            </w:r>
            <w:r w:rsidRPr="006966BA">
              <w:rPr>
                <w:rFonts w:ascii="標楷體" w:hint="eastAsia"/>
                <w:color w:val="auto"/>
                <w:sz w:val="28"/>
                <w:szCs w:val="28"/>
                <w:u w:val="none"/>
              </w:rPr>
              <w:t>預測之可達成性</w:t>
            </w:r>
            <w:r w:rsidRPr="00801627">
              <w:rPr>
                <w:rFonts w:ascii="標楷體" w:hint="eastAsia"/>
                <w:b/>
                <w:color w:val="auto"/>
                <w:sz w:val="28"/>
                <w:szCs w:val="28"/>
              </w:rPr>
              <w:t>及專案計畫完工後之現金流量，是否足以償還借款本息</w:t>
            </w:r>
            <w:r w:rsidRPr="006966BA">
              <w:rPr>
                <w:rFonts w:ascii="標楷體" w:hint="eastAsia"/>
                <w:color w:val="auto"/>
                <w:sz w:val="28"/>
                <w:szCs w:val="28"/>
                <w:u w:val="none"/>
              </w:rPr>
              <w:t>。</w:t>
            </w:r>
          </w:p>
          <w:p w:rsidR="00C67FEF" w:rsidRPr="006966BA" w:rsidRDefault="00C67FEF" w:rsidP="00CC4E45">
            <w:pPr>
              <w:pStyle w:val="aa"/>
              <w:spacing w:before="100" w:line="380" w:lineRule="exact"/>
              <w:ind w:leftChars="100" w:left="520" w:hanging="280"/>
              <w:jc w:val="both"/>
              <w:rPr>
                <w:rFonts w:ascii="標楷體"/>
                <w:color w:val="auto"/>
                <w:sz w:val="28"/>
                <w:szCs w:val="28"/>
                <w:u w:val="none"/>
              </w:rPr>
            </w:pPr>
            <w:r w:rsidRPr="006966BA">
              <w:rPr>
                <w:rFonts w:ascii="標楷體" w:hint="eastAsia"/>
                <w:color w:val="auto"/>
                <w:sz w:val="28"/>
                <w:szCs w:val="28"/>
                <w:u w:val="none"/>
              </w:rPr>
              <w:t>4.債權確保應評估專案內各項主要標的物或擔保品，及其違約時之處分方式。</w:t>
            </w:r>
          </w:p>
          <w:p w:rsidR="00C67FEF" w:rsidRPr="00824C7A" w:rsidRDefault="00C67FEF" w:rsidP="00CC4E45">
            <w:pPr>
              <w:pStyle w:val="aa"/>
              <w:spacing w:before="100" w:line="380" w:lineRule="exact"/>
              <w:ind w:leftChars="0" w:left="560" w:hangingChars="200" w:hanging="560"/>
              <w:jc w:val="both"/>
              <w:rPr>
                <w:rFonts w:ascii="標楷體"/>
                <w:b/>
                <w:color w:val="auto"/>
                <w:sz w:val="28"/>
                <w:szCs w:val="28"/>
              </w:rPr>
            </w:pPr>
            <w:r w:rsidRPr="006966BA">
              <w:rPr>
                <w:rFonts w:ascii="標楷體" w:hint="eastAsia"/>
                <w:color w:val="auto"/>
                <w:sz w:val="28"/>
                <w:szCs w:val="28"/>
                <w:u w:val="none"/>
              </w:rPr>
              <w:t>(四)為確保融資銀行之權益，應與借款人及投資人、發起人等關係人協商風險分攤機制及擔保架構，必要時應</w:t>
            </w:r>
            <w:r w:rsidRPr="00824C7A">
              <w:rPr>
                <w:rFonts w:ascii="標楷體" w:hint="eastAsia"/>
                <w:b/>
                <w:color w:val="auto"/>
                <w:sz w:val="28"/>
                <w:szCs w:val="28"/>
              </w:rPr>
              <w:t>採取相關風險控管機制，得包括但不限於加強徵提擔保品及(或)保證人、以信託方式設立專戶控管資金、引進外部</w:t>
            </w:r>
            <w:r w:rsidRPr="00824C7A">
              <w:rPr>
                <w:rFonts w:ascii="標楷體" w:hint="eastAsia"/>
                <w:b/>
                <w:color w:val="auto"/>
                <w:sz w:val="28"/>
                <w:szCs w:val="28"/>
              </w:rPr>
              <w:lastRenderedPageBreak/>
              <w:t>專家(律師、會計師等)進行監管、借款人違約時之續建完工機制、退場機制或介入權等相關事宜。如屬機密性公共工程融資案件，得與工程採購機關商議由政府機關承擔債務或提供保證。</w:t>
            </w:r>
          </w:p>
          <w:p w:rsidR="00C67FEF" w:rsidRPr="006966BA" w:rsidRDefault="00C67FEF" w:rsidP="00CC4E45">
            <w:pPr>
              <w:pStyle w:val="aa"/>
              <w:spacing w:before="100" w:line="380" w:lineRule="exact"/>
              <w:ind w:leftChars="0" w:left="624" w:firstLineChars="0" w:hanging="624"/>
              <w:jc w:val="both"/>
              <w:rPr>
                <w:rFonts w:ascii="標楷體"/>
                <w:color w:val="auto"/>
                <w:sz w:val="28"/>
                <w:szCs w:val="28"/>
                <w:u w:val="none"/>
              </w:rPr>
            </w:pPr>
            <w:r w:rsidRPr="00042C1E">
              <w:rPr>
                <w:rFonts w:ascii="標楷體" w:hint="eastAsia"/>
                <w:b/>
                <w:color w:val="auto"/>
                <w:sz w:val="28"/>
                <w:szCs w:val="28"/>
              </w:rPr>
              <w:t>(五)</w:t>
            </w:r>
            <w:r w:rsidRPr="006966BA">
              <w:rPr>
                <w:rFonts w:ascii="標楷體" w:hint="eastAsia"/>
                <w:color w:val="auto"/>
                <w:sz w:val="28"/>
                <w:szCs w:val="28"/>
                <w:u w:val="none"/>
              </w:rPr>
              <w:t>落實貸後管理機制:</w:t>
            </w:r>
          </w:p>
          <w:p w:rsidR="00C67FEF" w:rsidRPr="006966BA" w:rsidRDefault="00C67FEF" w:rsidP="00DC33B5">
            <w:pPr>
              <w:pStyle w:val="aa"/>
              <w:spacing w:before="100" w:line="380" w:lineRule="exact"/>
              <w:ind w:leftChars="100" w:left="520" w:hanging="280"/>
              <w:jc w:val="both"/>
              <w:rPr>
                <w:rFonts w:ascii="標楷體"/>
                <w:color w:val="auto"/>
                <w:sz w:val="28"/>
                <w:szCs w:val="28"/>
              </w:rPr>
            </w:pPr>
            <w:r w:rsidRPr="002A6F7D">
              <w:rPr>
                <w:rFonts w:ascii="標楷體" w:hint="eastAsia"/>
                <w:color w:val="auto"/>
                <w:sz w:val="28"/>
                <w:szCs w:val="28"/>
              </w:rPr>
              <w:t>1.</w:t>
            </w:r>
            <w:r w:rsidRPr="002A6F7D">
              <w:rPr>
                <w:rFonts w:ascii="標楷體" w:hint="eastAsia"/>
                <w:b/>
                <w:color w:val="auto"/>
                <w:sz w:val="28"/>
                <w:szCs w:val="28"/>
              </w:rPr>
              <w:t>訂</w:t>
            </w:r>
            <w:r w:rsidRPr="00042C1E">
              <w:rPr>
                <w:rFonts w:ascii="標楷體" w:hint="eastAsia"/>
                <w:b/>
                <w:color w:val="auto"/>
                <w:sz w:val="28"/>
                <w:szCs w:val="28"/>
              </w:rPr>
              <w:t>定</w:t>
            </w:r>
            <w:r w:rsidRPr="006966BA">
              <w:rPr>
                <w:rFonts w:ascii="標楷體" w:hint="eastAsia"/>
                <w:color w:val="auto"/>
                <w:sz w:val="28"/>
                <w:szCs w:val="28"/>
                <w:u w:val="none"/>
              </w:rPr>
              <w:t>追蹤專案計畫執行進度</w:t>
            </w:r>
            <w:r w:rsidRPr="00042C1E">
              <w:rPr>
                <w:rFonts w:ascii="標楷體" w:hint="eastAsia"/>
                <w:b/>
                <w:color w:val="auto"/>
                <w:sz w:val="28"/>
                <w:szCs w:val="28"/>
              </w:rPr>
              <w:t>，並強化落實覆審作業。</w:t>
            </w:r>
          </w:p>
          <w:p w:rsidR="00C67FEF" w:rsidRPr="002A6F7D" w:rsidRDefault="00C67FEF" w:rsidP="00DC33B5">
            <w:pPr>
              <w:pStyle w:val="aa"/>
              <w:spacing w:before="100" w:line="380" w:lineRule="exact"/>
              <w:ind w:leftChars="100" w:left="520" w:hanging="280"/>
              <w:jc w:val="both"/>
              <w:rPr>
                <w:rFonts w:ascii="標楷體"/>
                <w:b/>
                <w:color w:val="auto"/>
                <w:sz w:val="28"/>
                <w:szCs w:val="28"/>
              </w:rPr>
            </w:pPr>
            <w:r w:rsidRPr="002A6F7D">
              <w:rPr>
                <w:rFonts w:ascii="標楷體" w:hint="eastAsia"/>
                <w:b/>
                <w:color w:val="auto"/>
                <w:sz w:val="28"/>
                <w:szCs w:val="28"/>
              </w:rPr>
              <w:t>2.審慎評估</w:t>
            </w:r>
            <w:r w:rsidR="007924E5" w:rsidRPr="002A6F7D">
              <w:rPr>
                <w:rFonts w:ascii="標楷體" w:hint="eastAsia"/>
                <w:b/>
                <w:color w:val="auto"/>
                <w:sz w:val="28"/>
                <w:szCs w:val="28"/>
              </w:rPr>
              <w:t>授信戶及其經營管理階層</w:t>
            </w:r>
            <w:r w:rsidRPr="002A6F7D">
              <w:rPr>
                <w:rFonts w:ascii="標楷體" w:hint="eastAsia"/>
                <w:b/>
                <w:color w:val="auto"/>
                <w:sz w:val="28"/>
                <w:szCs w:val="28"/>
              </w:rPr>
              <w:t>之負面或異常資訊對債權之影響，確實掌握授信戶實際財業務狀況。</w:t>
            </w:r>
          </w:p>
          <w:p w:rsidR="00C67FEF" w:rsidRPr="002A6F7D" w:rsidRDefault="00C67FEF" w:rsidP="00DC33B5">
            <w:pPr>
              <w:pStyle w:val="aa"/>
              <w:spacing w:before="100" w:line="380" w:lineRule="exact"/>
              <w:ind w:leftChars="100" w:left="520" w:hanging="280"/>
              <w:jc w:val="both"/>
              <w:rPr>
                <w:rFonts w:ascii="標楷體"/>
                <w:b/>
                <w:color w:val="auto"/>
                <w:sz w:val="28"/>
                <w:szCs w:val="28"/>
                <w:u w:val="none"/>
              </w:rPr>
            </w:pPr>
            <w:r w:rsidRPr="002A6F7D">
              <w:rPr>
                <w:rFonts w:ascii="標楷體" w:hint="eastAsia"/>
                <w:b/>
                <w:color w:val="auto"/>
                <w:sz w:val="28"/>
                <w:szCs w:val="28"/>
              </w:rPr>
              <w:t>3.控管放款資金撥貸作業，並確實審查交易文件之合理</w:t>
            </w:r>
            <w:r w:rsidR="00B8273E" w:rsidRPr="002A6F7D">
              <w:rPr>
                <w:rFonts w:ascii="標楷體" w:hint="eastAsia"/>
                <w:b/>
                <w:color w:val="auto"/>
                <w:sz w:val="28"/>
                <w:szCs w:val="28"/>
              </w:rPr>
              <w:t>性</w:t>
            </w:r>
            <w:r w:rsidRPr="002A6F7D">
              <w:rPr>
                <w:rFonts w:ascii="標楷體" w:hint="eastAsia"/>
                <w:b/>
                <w:color w:val="auto"/>
                <w:sz w:val="28"/>
                <w:szCs w:val="28"/>
              </w:rPr>
              <w:t>或真實性及資金流向。</w:t>
            </w:r>
          </w:p>
          <w:p w:rsidR="00C67FEF" w:rsidRPr="006966BA" w:rsidRDefault="00C67FEF" w:rsidP="00794597">
            <w:pPr>
              <w:pStyle w:val="aa"/>
              <w:spacing w:before="100" w:line="380" w:lineRule="exact"/>
              <w:ind w:leftChars="0" w:left="624" w:firstLineChars="0" w:hanging="624"/>
              <w:jc w:val="both"/>
              <w:rPr>
                <w:rFonts w:ascii="標楷體"/>
                <w:color w:val="auto"/>
                <w:sz w:val="28"/>
                <w:szCs w:val="28"/>
                <w:u w:val="none"/>
              </w:rPr>
            </w:pPr>
            <w:r w:rsidRPr="002A6F7D">
              <w:rPr>
                <w:rFonts w:ascii="標楷體" w:hint="eastAsia"/>
                <w:b/>
                <w:color w:val="auto"/>
                <w:sz w:val="28"/>
                <w:szCs w:val="28"/>
              </w:rPr>
              <w:t>(六)</w:t>
            </w:r>
            <w:r w:rsidRPr="006966BA">
              <w:rPr>
                <w:rFonts w:ascii="標楷體" w:hint="eastAsia"/>
                <w:color w:val="auto"/>
                <w:sz w:val="28"/>
                <w:szCs w:val="28"/>
                <w:u w:val="none"/>
              </w:rPr>
              <w:t>辦理專案融資重大款項之國外匯款，應依防制洗錢及打擊資恐等相關法規辦理。</w:t>
            </w:r>
          </w:p>
          <w:p w:rsidR="00C67FEF" w:rsidRPr="006966BA" w:rsidRDefault="00C67FEF" w:rsidP="007C6567">
            <w:pPr>
              <w:pStyle w:val="aa"/>
              <w:spacing w:before="100" w:line="380" w:lineRule="exact"/>
              <w:ind w:leftChars="691" w:left="1898" w:firstLineChars="0"/>
              <w:jc w:val="both"/>
              <w:rPr>
                <w:rFonts w:ascii="標楷體"/>
                <w:color w:val="auto"/>
                <w:sz w:val="28"/>
                <w:szCs w:val="28"/>
              </w:rPr>
            </w:pPr>
          </w:p>
        </w:tc>
        <w:tc>
          <w:tcPr>
            <w:tcW w:w="1759" w:type="pct"/>
          </w:tcPr>
          <w:p w:rsidR="00C67FEF" w:rsidRPr="006966BA" w:rsidRDefault="00C67FEF" w:rsidP="003D114F">
            <w:pPr>
              <w:pStyle w:val="aa"/>
              <w:spacing w:before="100" w:line="380" w:lineRule="exact"/>
              <w:ind w:leftChars="0" w:left="0" w:firstLineChars="0" w:firstLine="0"/>
              <w:jc w:val="both"/>
              <w:rPr>
                <w:rFonts w:ascii="標楷體"/>
                <w:color w:val="auto"/>
                <w:sz w:val="28"/>
                <w:szCs w:val="28"/>
                <w:u w:val="none"/>
              </w:rPr>
            </w:pPr>
            <w:r w:rsidRPr="006966BA">
              <w:rPr>
                <w:rFonts w:ascii="標楷體" w:hint="eastAsia"/>
                <w:bCs/>
                <w:color w:val="auto"/>
                <w:sz w:val="28"/>
                <w:szCs w:val="28"/>
                <w:u w:val="none"/>
              </w:rPr>
              <w:lastRenderedPageBreak/>
              <w:t>第20條之1</w:t>
            </w:r>
            <w:r w:rsidRPr="006966BA">
              <w:rPr>
                <w:rFonts w:ascii="標楷體" w:hint="eastAsia"/>
                <w:color w:val="auto"/>
                <w:sz w:val="28"/>
                <w:szCs w:val="28"/>
                <w:u w:val="none"/>
              </w:rPr>
              <w:t xml:space="preserve"> </w:t>
            </w:r>
          </w:p>
          <w:p w:rsidR="00C67FEF" w:rsidRPr="006966BA" w:rsidRDefault="00C67FEF" w:rsidP="003D114F">
            <w:pPr>
              <w:pStyle w:val="aa"/>
              <w:spacing w:before="100" w:line="380" w:lineRule="exact"/>
              <w:ind w:leftChars="0" w:left="0" w:firstLineChars="0" w:firstLine="0"/>
              <w:jc w:val="both"/>
              <w:rPr>
                <w:rFonts w:ascii="標楷體"/>
                <w:color w:val="auto"/>
                <w:sz w:val="28"/>
                <w:szCs w:val="28"/>
                <w:u w:val="none"/>
              </w:rPr>
            </w:pPr>
            <w:r w:rsidRPr="00801627">
              <w:rPr>
                <w:rFonts w:ascii="標楷體" w:hint="eastAsia"/>
                <w:b/>
                <w:color w:val="auto"/>
                <w:sz w:val="28"/>
                <w:szCs w:val="28"/>
              </w:rPr>
              <w:t>銀行</w:t>
            </w:r>
            <w:r w:rsidRPr="006966BA">
              <w:rPr>
                <w:rFonts w:ascii="標楷體" w:hint="eastAsia"/>
                <w:color w:val="auto"/>
                <w:sz w:val="28"/>
                <w:szCs w:val="28"/>
                <w:u w:val="none"/>
              </w:rPr>
              <w:t>承作</w:t>
            </w:r>
            <w:r w:rsidRPr="006966BA">
              <w:rPr>
                <w:rFonts w:ascii="標楷體" w:hint="eastAsia"/>
                <w:color w:val="auto"/>
                <w:sz w:val="28"/>
                <w:szCs w:val="28"/>
              </w:rPr>
              <w:t>大型公共工程</w:t>
            </w:r>
            <w:r w:rsidRPr="006966BA">
              <w:rPr>
                <w:rFonts w:ascii="標楷體" w:hint="eastAsia"/>
                <w:color w:val="auto"/>
                <w:sz w:val="28"/>
                <w:szCs w:val="28"/>
                <w:u w:val="none"/>
              </w:rPr>
              <w:t>專案融資除應依一般徵、授信規範辦理外，應遵循下列原則:</w:t>
            </w:r>
          </w:p>
          <w:p w:rsidR="00C67FEF" w:rsidRPr="006966BA" w:rsidRDefault="00C67FEF" w:rsidP="003D114F">
            <w:pPr>
              <w:pStyle w:val="aa"/>
              <w:numPr>
                <w:ilvl w:val="0"/>
                <w:numId w:val="8"/>
              </w:numPr>
              <w:spacing w:before="100" w:line="380" w:lineRule="exact"/>
              <w:ind w:leftChars="0" w:firstLineChars="0"/>
              <w:jc w:val="both"/>
              <w:rPr>
                <w:rFonts w:ascii="標楷體"/>
                <w:color w:val="auto"/>
                <w:sz w:val="28"/>
                <w:szCs w:val="28"/>
                <w:u w:val="none"/>
              </w:rPr>
            </w:pPr>
            <w:r w:rsidRPr="006966BA">
              <w:rPr>
                <w:rFonts w:ascii="標楷體" w:hint="eastAsia"/>
                <w:color w:val="auto"/>
                <w:sz w:val="28"/>
                <w:szCs w:val="28"/>
                <w:u w:val="none"/>
              </w:rPr>
              <w:t>確認專案投資計畫是否適用專案融資。</w:t>
            </w:r>
          </w:p>
          <w:p w:rsidR="00C67FEF" w:rsidRPr="006966BA" w:rsidRDefault="00C67FEF" w:rsidP="003D114F">
            <w:pPr>
              <w:pStyle w:val="aa"/>
              <w:numPr>
                <w:ilvl w:val="0"/>
                <w:numId w:val="8"/>
              </w:numPr>
              <w:spacing w:before="100" w:line="380" w:lineRule="exact"/>
              <w:ind w:leftChars="0" w:firstLineChars="0"/>
              <w:jc w:val="both"/>
              <w:rPr>
                <w:rFonts w:ascii="標楷體"/>
                <w:color w:val="auto"/>
                <w:sz w:val="28"/>
                <w:szCs w:val="28"/>
                <w:u w:val="none"/>
              </w:rPr>
            </w:pPr>
            <w:r w:rsidRPr="006966BA">
              <w:rPr>
                <w:rFonts w:ascii="標楷體" w:hint="eastAsia"/>
                <w:color w:val="auto"/>
                <w:sz w:val="28"/>
                <w:szCs w:val="28"/>
                <w:u w:val="none"/>
              </w:rPr>
              <w:t>辦理盡職調查(Due Diligence)，就專案計畫之財務、法律、保險、</w:t>
            </w:r>
            <w:r w:rsidRPr="00801627">
              <w:rPr>
                <w:rFonts w:ascii="標楷體" w:hint="eastAsia"/>
                <w:b/>
                <w:color w:val="auto"/>
                <w:sz w:val="28"/>
                <w:szCs w:val="28"/>
              </w:rPr>
              <w:t>工程</w:t>
            </w:r>
            <w:r w:rsidRPr="006966BA">
              <w:rPr>
                <w:rFonts w:ascii="標楷體" w:hint="eastAsia"/>
                <w:color w:val="auto"/>
                <w:sz w:val="28"/>
                <w:szCs w:val="28"/>
                <w:u w:val="none"/>
              </w:rPr>
              <w:t>等方面進行可行性及風險評估，必要時，應委託專業顧問公司或第三方檢測驗證機構出具評估報告。銀行經審慎評估該報告之合理性後，得將該評估報告作為自行之可行性及風險評估報告，或依其自行評估結果酌予修正後採用之。如屬機密性公共工程融資案件，應由政府有關部門或其指定之專業顧問公司出具評估報告，且銀行得逕行採用該評估報告作為徵審之參考依據。</w:t>
            </w:r>
          </w:p>
          <w:p w:rsidR="00C67FEF" w:rsidRPr="006966BA" w:rsidRDefault="00C67FEF" w:rsidP="00336C26">
            <w:pPr>
              <w:pStyle w:val="aa"/>
              <w:numPr>
                <w:ilvl w:val="0"/>
                <w:numId w:val="8"/>
              </w:numPr>
              <w:spacing w:before="100" w:line="380" w:lineRule="exact"/>
              <w:ind w:leftChars="0" w:firstLineChars="0"/>
              <w:jc w:val="both"/>
              <w:rPr>
                <w:rFonts w:ascii="標楷體"/>
                <w:color w:val="auto"/>
                <w:sz w:val="28"/>
                <w:szCs w:val="28"/>
                <w:u w:val="none"/>
              </w:rPr>
            </w:pPr>
            <w:r w:rsidRPr="006966BA">
              <w:rPr>
                <w:rFonts w:ascii="標楷體" w:hint="eastAsia"/>
                <w:color w:val="auto"/>
                <w:sz w:val="28"/>
                <w:szCs w:val="28"/>
                <w:u w:val="none"/>
              </w:rPr>
              <w:t>辦理專案融資風險評估時，應加強注意評估</w:t>
            </w:r>
            <w:r w:rsidRPr="006966BA">
              <w:rPr>
                <w:rFonts w:ascii="標楷體" w:hint="eastAsia"/>
                <w:color w:val="auto"/>
                <w:sz w:val="28"/>
                <w:szCs w:val="28"/>
                <w:u w:val="none"/>
              </w:rPr>
              <w:lastRenderedPageBreak/>
              <w:t>下列事項：</w:t>
            </w:r>
          </w:p>
          <w:p w:rsidR="00C67FEF" w:rsidRPr="006966BA" w:rsidRDefault="00C67FEF" w:rsidP="003D114F">
            <w:pPr>
              <w:pStyle w:val="aa"/>
              <w:spacing w:before="100" w:line="380" w:lineRule="exact"/>
              <w:ind w:leftChars="100" w:left="520" w:hanging="280"/>
              <w:jc w:val="both"/>
              <w:rPr>
                <w:rFonts w:ascii="標楷體"/>
                <w:color w:val="auto"/>
                <w:sz w:val="28"/>
                <w:szCs w:val="28"/>
                <w:u w:val="none"/>
              </w:rPr>
            </w:pPr>
            <w:r w:rsidRPr="006966BA">
              <w:rPr>
                <w:rFonts w:ascii="標楷體" w:hint="eastAsia"/>
                <w:color w:val="auto"/>
                <w:sz w:val="28"/>
                <w:szCs w:val="28"/>
                <w:u w:val="none"/>
              </w:rPr>
              <w:t>1.借款人之主要股東、專案之投資人、發起人及其專案執行之能力、過往實績等。</w:t>
            </w:r>
          </w:p>
          <w:p w:rsidR="00C67FEF" w:rsidRPr="006966BA" w:rsidRDefault="00C67FEF" w:rsidP="003D114F">
            <w:pPr>
              <w:pStyle w:val="aa"/>
              <w:spacing w:before="100" w:line="380" w:lineRule="exact"/>
              <w:ind w:leftChars="100" w:left="520" w:hanging="280"/>
              <w:jc w:val="both"/>
              <w:rPr>
                <w:rFonts w:ascii="標楷體"/>
                <w:color w:val="auto"/>
                <w:sz w:val="28"/>
                <w:szCs w:val="28"/>
                <w:u w:val="none"/>
              </w:rPr>
            </w:pPr>
            <w:r w:rsidRPr="006966BA">
              <w:rPr>
                <w:rFonts w:ascii="標楷體" w:hint="eastAsia"/>
                <w:color w:val="auto"/>
                <w:sz w:val="28"/>
                <w:szCs w:val="28"/>
                <w:u w:val="none"/>
              </w:rPr>
              <w:t>2.資金用途應評估各項成本及費用支出之合理性。</w:t>
            </w:r>
          </w:p>
          <w:p w:rsidR="00C67FEF" w:rsidRPr="006966BA" w:rsidRDefault="00C67FEF" w:rsidP="003D114F">
            <w:pPr>
              <w:pStyle w:val="aa"/>
              <w:spacing w:before="100" w:line="380" w:lineRule="exact"/>
              <w:ind w:leftChars="100" w:left="520" w:hanging="280"/>
              <w:jc w:val="both"/>
              <w:rPr>
                <w:rFonts w:ascii="標楷體"/>
                <w:color w:val="auto"/>
                <w:sz w:val="28"/>
                <w:szCs w:val="28"/>
                <w:u w:val="none"/>
              </w:rPr>
            </w:pPr>
            <w:r w:rsidRPr="006966BA">
              <w:rPr>
                <w:rFonts w:ascii="標楷體" w:hint="eastAsia"/>
                <w:color w:val="auto"/>
                <w:sz w:val="28"/>
                <w:szCs w:val="28"/>
                <w:u w:val="none"/>
              </w:rPr>
              <w:t>3.還款來源應評估財務假設</w:t>
            </w:r>
            <w:r w:rsidRPr="00801627">
              <w:rPr>
                <w:rFonts w:ascii="標楷體" w:hint="eastAsia"/>
                <w:b/>
                <w:color w:val="auto"/>
                <w:sz w:val="28"/>
                <w:szCs w:val="28"/>
              </w:rPr>
              <w:t>及</w:t>
            </w:r>
            <w:r w:rsidRPr="006966BA">
              <w:rPr>
                <w:rFonts w:ascii="標楷體" w:hint="eastAsia"/>
                <w:color w:val="auto"/>
                <w:sz w:val="28"/>
                <w:szCs w:val="28"/>
                <w:u w:val="none"/>
              </w:rPr>
              <w:t>預測之可達成性。</w:t>
            </w:r>
          </w:p>
          <w:p w:rsidR="00C67FEF" w:rsidRPr="006966BA" w:rsidRDefault="00C67FEF" w:rsidP="003D114F">
            <w:pPr>
              <w:pStyle w:val="aa"/>
              <w:spacing w:before="100" w:line="380" w:lineRule="exact"/>
              <w:ind w:leftChars="100" w:left="520" w:hanging="280"/>
              <w:jc w:val="both"/>
              <w:rPr>
                <w:rFonts w:ascii="標楷體"/>
                <w:color w:val="auto"/>
                <w:sz w:val="28"/>
                <w:szCs w:val="28"/>
                <w:u w:val="none"/>
              </w:rPr>
            </w:pPr>
            <w:r w:rsidRPr="006966BA">
              <w:rPr>
                <w:rFonts w:ascii="標楷體" w:hint="eastAsia"/>
                <w:color w:val="auto"/>
                <w:sz w:val="28"/>
                <w:szCs w:val="28"/>
                <w:u w:val="none"/>
              </w:rPr>
              <w:t>4.債權確保應評估專案內各項主要標的物或擔保品，及其違約時之處分方式。</w:t>
            </w:r>
          </w:p>
          <w:p w:rsidR="00C67FEF" w:rsidRPr="006966BA" w:rsidRDefault="00C67FEF" w:rsidP="00336C26">
            <w:pPr>
              <w:pStyle w:val="aa"/>
              <w:numPr>
                <w:ilvl w:val="0"/>
                <w:numId w:val="8"/>
              </w:numPr>
              <w:spacing w:before="100" w:line="380" w:lineRule="exact"/>
              <w:ind w:leftChars="0" w:firstLineChars="0"/>
              <w:jc w:val="both"/>
              <w:rPr>
                <w:rFonts w:ascii="標楷體"/>
                <w:color w:val="auto"/>
                <w:sz w:val="28"/>
                <w:szCs w:val="28"/>
                <w:u w:val="none"/>
              </w:rPr>
            </w:pPr>
            <w:r w:rsidRPr="006966BA">
              <w:rPr>
                <w:rFonts w:ascii="標楷體" w:hint="eastAsia"/>
                <w:color w:val="auto"/>
                <w:sz w:val="28"/>
                <w:szCs w:val="28"/>
                <w:u w:val="none"/>
              </w:rPr>
              <w:t>為確保融資銀行之權益，應與借款人及投資人、發起人等關係人協商風險分攤機制及擔保架構，必要時應</w:t>
            </w:r>
            <w:r w:rsidRPr="00801627">
              <w:rPr>
                <w:rFonts w:ascii="標楷體" w:hint="eastAsia"/>
                <w:b/>
                <w:color w:val="auto"/>
                <w:sz w:val="28"/>
                <w:szCs w:val="28"/>
              </w:rPr>
              <w:t>加強徵提擔保品及(或)保證人。如屬機密性公共工程融資案件，應與工程採購機關商訂相關風險控管機制，得包括但不限於由政府機關承擔債務或提供保證、以信託方式設立專戶控管資金、引進外部專家(律師、會計師等)進行監管、借款人違約時之續建完工機制、退場機制或介入權等相</w:t>
            </w:r>
            <w:r w:rsidRPr="00801627">
              <w:rPr>
                <w:rFonts w:ascii="標楷體" w:hint="eastAsia"/>
                <w:b/>
                <w:color w:val="auto"/>
                <w:sz w:val="28"/>
                <w:szCs w:val="28"/>
              </w:rPr>
              <w:lastRenderedPageBreak/>
              <w:t>關事宜</w:t>
            </w:r>
            <w:r w:rsidRPr="00801627">
              <w:rPr>
                <w:rFonts w:ascii="標楷體" w:hint="eastAsia"/>
                <w:color w:val="auto"/>
                <w:sz w:val="28"/>
                <w:szCs w:val="28"/>
                <w:u w:val="none"/>
              </w:rPr>
              <w:t>。</w:t>
            </w:r>
          </w:p>
          <w:p w:rsidR="00C67FEF" w:rsidRPr="00824C7A" w:rsidRDefault="00C67FEF" w:rsidP="00824C7A">
            <w:pPr>
              <w:pStyle w:val="aa"/>
              <w:spacing w:before="100" w:line="380" w:lineRule="exact"/>
              <w:ind w:leftChars="0" w:left="561" w:hangingChars="200" w:hanging="561"/>
              <w:jc w:val="both"/>
              <w:rPr>
                <w:rFonts w:ascii="標楷體"/>
                <w:b/>
                <w:color w:val="auto"/>
                <w:sz w:val="28"/>
                <w:szCs w:val="28"/>
              </w:rPr>
            </w:pPr>
            <w:r w:rsidRPr="00824C7A">
              <w:rPr>
                <w:rFonts w:ascii="標楷體" w:hint="eastAsia"/>
                <w:b/>
                <w:color w:val="auto"/>
                <w:sz w:val="28"/>
                <w:szCs w:val="28"/>
              </w:rPr>
              <w:t>(五)如係聯貸案，有關籌組銀行團之程序如下:</w:t>
            </w:r>
          </w:p>
          <w:p w:rsidR="00C67FEF" w:rsidRPr="00824C7A" w:rsidRDefault="00C67FEF" w:rsidP="00BF26C3">
            <w:pPr>
              <w:pStyle w:val="aa"/>
              <w:numPr>
                <w:ilvl w:val="0"/>
                <w:numId w:val="9"/>
              </w:numPr>
              <w:spacing w:before="100" w:line="380" w:lineRule="exact"/>
              <w:ind w:leftChars="50" w:left="400" w:hanging="280"/>
              <w:jc w:val="both"/>
              <w:rPr>
                <w:rFonts w:ascii="標楷體"/>
                <w:b/>
                <w:color w:val="auto"/>
                <w:sz w:val="28"/>
                <w:szCs w:val="28"/>
              </w:rPr>
            </w:pPr>
            <w:r w:rsidRPr="00824C7A">
              <w:rPr>
                <w:rFonts w:ascii="標楷體" w:hint="eastAsia"/>
                <w:b/>
                <w:color w:val="auto"/>
                <w:sz w:val="28"/>
                <w:szCs w:val="28"/>
              </w:rPr>
              <w:t>主辦行應先就申請案借款計畫確實評估其可行性及分析其還款能力，並將所作評估及分析事項連同借款人財、業務徵信資料，製作成聯貸說明書，邀請其他銀行參貸。</w:t>
            </w:r>
          </w:p>
          <w:p w:rsidR="00C67FEF" w:rsidRPr="00042C1E" w:rsidRDefault="00C67FEF" w:rsidP="00BF26C3">
            <w:pPr>
              <w:pStyle w:val="aa"/>
              <w:numPr>
                <w:ilvl w:val="0"/>
                <w:numId w:val="9"/>
              </w:numPr>
              <w:spacing w:before="100" w:line="380" w:lineRule="exact"/>
              <w:ind w:leftChars="50" w:left="400" w:hanging="280"/>
              <w:jc w:val="both"/>
              <w:rPr>
                <w:rFonts w:ascii="標楷體"/>
                <w:b/>
                <w:color w:val="auto"/>
                <w:sz w:val="28"/>
                <w:szCs w:val="28"/>
              </w:rPr>
            </w:pPr>
            <w:r w:rsidRPr="00042C1E">
              <w:rPr>
                <w:rFonts w:ascii="標楷體" w:hint="eastAsia"/>
                <w:b/>
                <w:color w:val="auto"/>
                <w:sz w:val="28"/>
                <w:szCs w:val="28"/>
              </w:rPr>
              <w:t>主辦行應視個案需要，聯繫有意願參貸之銀行召開聯貸說明會。</w:t>
            </w:r>
          </w:p>
          <w:p w:rsidR="00C67FEF" w:rsidRPr="00042C1E" w:rsidRDefault="00C67FEF" w:rsidP="00BF26C3">
            <w:pPr>
              <w:pStyle w:val="aa"/>
              <w:numPr>
                <w:ilvl w:val="0"/>
                <w:numId w:val="9"/>
              </w:numPr>
              <w:spacing w:before="100" w:line="380" w:lineRule="exact"/>
              <w:ind w:leftChars="50" w:left="400" w:hanging="280"/>
              <w:jc w:val="both"/>
              <w:rPr>
                <w:rFonts w:ascii="標楷體"/>
                <w:b/>
                <w:color w:val="auto"/>
                <w:sz w:val="28"/>
                <w:szCs w:val="28"/>
              </w:rPr>
            </w:pPr>
            <w:r w:rsidRPr="00042C1E">
              <w:rPr>
                <w:rFonts w:ascii="標楷體" w:hint="eastAsia"/>
                <w:b/>
                <w:color w:val="auto"/>
                <w:sz w:val="28"/>
                <w:szCs w:val="28"/>
              </w:rPr>
              <w:t>聯貸案經各參貸銀行依其內部程序簽報核准後，主辦行應將主辦行與參貸行間及銀行與借款人間之權利義務，訂明於聯貸合約書後，安排與借款人簽約事宜。</w:t>
            </w:r>
          </w:p>
          <w:p w:rsidR="00C67FEF" w:rsidRPr="006966BA" w:rsidRDefault="00C67FEF" w:rsidP="002A6F7D">
            <w:pPr>
              <w:pStyle w:val="aa"/>
              <w:spacing w:before="100" w:line="380" w:lineRule="exact"/>
              <w:ind w:leftChars="14" w:left="595" w:hangingChars="200" w:hanging="561"/>
              <w:jc w:val="both"/>
              <w:rPr>
                <w:rFonts w:ascii="標楷體"/>
                <w:color w:val="auto"/>
                <w:sz w:val="28"/>
                <w:szCs w:val="28"/>
                <w:u w:val="none"/>
              </w:rPr>
            </w:pPr>
            <w:r w:rsidRPr="002A6F7D">
              <w:rPr>
                <w:rFonts w:ascii="標楷體" w:hint="eastAsia"/>
                <w:b/>
                <w:color w:val="auto"/>
                <w:sz w:val="28"/>
                <w:szCs w:val="28"/>
              </w:rPr>
              <w:t>(六)</w:t>
            </w:r>
            <w:r w:rsidRPr="006966BA">
              <w:rPr>
                <w:rFonts w:ascii="標楷體" w:hint="eastAsia"/>
                <w:color w:val="auto"/>
                <w:sz w:val="28"/>
                <w:szCs w:val="28"/>
                <w:u w:val="none"/>
              </w:rPr>
              <w:t>落實貸後管理機制，訂定追蹤專案計畫執行進度。</w:t>
            </w:r>
            <w:r w:rsidRPr="002A6F7D">
              <w:rPr>
                <w:rFonts w:ascii="標楷體" w:hint="eastAsia"/>
                <w:b/>
                <w:color w:val="auto"/>
                <w:sz w:val="28"/>
                <w:szCs w:val="28"/>
              </w:rPr>
              <w:t>如屬機密性公共工程融資案件，應請工程採購機關出具工程執行進度、借款人履約狀況及借款人所提供指定用途之支出憑證是否符合工程契約之意見</w:t>
            </w:r>
            <w:r w:rsidRPr="006966BA">
              <w:rPr>
                <w:rFonts w:ascii="標楷體" w:hint="eastAsia"/>
                <w:color w:val="auto"/>
                <w:sz w:val="28"/>
                <w:szCs w:val="28"/>
                <w:u w:val="none"/>
              </w:rPr>
              <w:t>。</w:t>
            </w:r>
          </w:p>
          <w:p w:rsidR="00C67FEF" w:rsidRPr="006966BA" w:rsidRDefault="00C67FEF" w:rsidP="002A6F7D">
            <w:pPr>
              <w:pStyle w:val="aa"/>
              <w:spacing w:before="100" w:line="380" w:lineRule="exact"/>
              <w:ind w:leftChars="14" w:left="595" w:hangingChars="200" w:hanging="561"/>
              <w:jc w:val="both"/>
              <w:rPr>
                <w:rFonts w:ascii="標楷體"/>
                <w:color w:val="auto"/>
                <w:sz w:val="28"/>
                <w:szCs w:val="28"/>
                <w:u w:val="none"/>
              </w:rPr>
            </w:pPr>
            <w:r w:rsidRPr="002A6F7D">
              <w:rPr>
                <w:rFonts w:ascii="標楷體" w:hint="eastAsia"/>
                <w:b/>
                <w:color w:val="auto"/>
                <w:sz w:val="28"/>
                <w:szCs w:val="28"/>
              </w:rPr>
              <w:t>(七)</w:t>
            </w:r>
            <w:r w:rsidRPr="006966BA">
              <w:rPr>
                <w:rFonts w:ascii="標楷體" w:hint="eastAsia"/>
                <w:color w:val="auto"/>
                <w:sz w:val="28"/>
                <w:szCs w:val="28"/>
                <w:u w:val="none"/>
              </w:rPr>
              <w:t>辦理專案融資重大款項之國外匯款，應依</w:t>
            </w:r>
            <w:r w:rsidRPr="006966BA">
              <w:rPr>
                <w:rFonts w:ascii="標楷體" w:hint="eastAsia"/>
                <w:color w:val="auto"/>
                <w:sz w:val="28"/>
                <w:szCs w:val="28"/>
                <w:u w:val="none"/>
              </w:rPr>
              <w:lastRenderedPageBreak/>
              <w:t>防制洗錢及打擊資恐等相關法規辦理。</w:t>
            </w:r>
          </w:p>
        </w:tc>
        <w:tc>
          <w:tcPr>
            <w:tcW w:w="1482" w:type="pct"/>
          </w:tcPr>
          <w:p w:rsidR="00C67FEF" w:rsidRPr="003C63FA" w:rsidRDefault="00C67FEF" w:rsidP="006B2BF4">
            <w:pPr>
              <w:pStyle w:val="aa"/>
              <w:numPr>
                <w:ilvl w:val="0"/>
                <w:numId w:val="11"/>
              </w:numPr>
              <w:wordWrap w:val="0"/>
              <w:spacing w:line="380" w:lineRule="exact"/>
              <w:ind w:leftChars="0" w:left="567" w:firstLineChars="0" w:hanging="567"/>
              <w:jc w:val="both"/>
              <w:rPr>
                <w:rFonts w:ascii="標楷體" w:hAnsi="標楷體"/>
                <w:color w:val="auto"/>
                <w:sz w:val="28"/>
                <w:szCs w:val="28"/>
                <w:u w:val="none"/>
              </w:rPr>
            </w:pPr>
            <w:r w:rsidRPr="00480600">
              <w:rPr>
                <w:rFonts w:ascii="標楷體" w:hAnsi="標楷體" w:hint="eastAsia"/>
                <w:color w:val="auto"/>
                <w:sz w:val="28"/>
                <w:szCs w:val="28"/>
                <w:u w:val="none"/>
              </w:rPr>
              <w:lastRenderedPageBreak/>
              <w:t>金管會107年1月16日金管銀國字第10600319131</w:t>
            </w:r>
            <w:r w:rsidR="001072B8">
              <w:rPr>
                <w:rFonts w:ascii="標楷體" w:hAnsi="標楷體" w:hint="eastAsia"/>
                <w:color w:val="auto"/>
                <w:sz w:val="28"/>
                <w:szCs w:val="28"/>
                <w:u w:val="none"/>
              </w:rPr>
              <w:t>號函囑本會</w:t>
            </w:r>
            <w:r w:rsidRPr="00480600">
              <w:rPr>
                <w:rFonts w:ascii="標楷體" w:hAnsi="標楷體" w:hint="eastAsia"/>
                <w:color w:val="auto"/>
                <w:sz w:val="28"/>
                <w:szCs w:val="28"/>
                <w:u w:val="none"/>
              </w:rPr>
              <w:t>增訂大型公共工程以外之專案融資研議原則性規範，鑒於銀行辦理專案融資之原則不因其是否屬「大型公共工程」而有不同，爰修正</w:t>
            </w:r>
            <w:r w:rsidR="00092941">
              <w:rPr>
                <w:rFonts w:ascii="標楷體" w:hAnsi="標楷體" w:hint="eastAsia"/>
                <w:color w:val="auto"/>
                <w:sz w:val="28"/>
                <w:szCs w:val="28"/>
                <w:u w:val="none"/>
              </w:rPr>
              <w:t>本條</w:t>
            </w:r>
            <w:r w:rsidR="00185AAB">
              <w:rPr>
                <w:rFonts w:ascii="標楷體" w:hAnsi="標楷體" w:hint="eastAsia"/>
                <w:color w:val="auto"/>
                <w:sz w:val="28"/>
                <w:szCs w:val="28"/>
                <w:u w:val="none"/>
              </w:rPr>
              <w:t>規定之</w:t>
            </w:r>
            <w:r w:rsidRPr="00480600">
              <w:rPr>
                <w:rFonts w:ascii="標楷體" w:hAnsi="標楷體" w:hint="eastAsia"/>
                <w:color w:val="auto"/>
                <w:sz w:val="28"/>
                <w:szCs w:val="28"/>
                <w:u w:val="none"/>
              </w:rPr>
              <w:t>適用範圍</w:t>
            </w:r>
            <w:r w:rsidR="00B737ED">
              <w:rPr>
                <w:rFonts w:ascii="標楷體" w:hAnsi="標楷體" w:hint="eastAsia"/>
                <w:color w:val="auto"/>
                <w:sz w:val="28"/>
                <w:szCs w:val="28"/>
                <w:u w:val="none"/>
              </w:rPr>
              <w:t>擴及所有專案融資(即</w:t>
            </w:r>
            <w:r w:rsidRPr="00480600">
              <w:rPr>
                <w:rFonts w:ascii="標楷體" w:hAnsi="標楷體" w:hint="eastAsia"/>
                <w:color w:val="auto"/>
                <w:sz w:val="28"/>
                <w:szCs w:val="28"/>
                <w:u w:val="none"/>
              </w:rPr>
              <w:t>不限於大型</w:t>
            </w:r>
            <w:r w:rsidR="006B2BF4">
              <w:rPr>
                <w:rFonts w:ascii="標楷體" w:hAnsi="標楷體" w:hint="eastAsia"/>
                <w:color w:val="auto"/>
                <w:sz w:val="28"/>
                <w:szCs w:val="28"/>
                <w:u w:val="none"/>
              </w:rPr>
              <w:t>公共工程之專案融資</w:t>
            </w:r>
            <w:r w:rsidR="00B737ED">
              <w:rPr>
                <w:rFonts w:ascii="標楷體" w:hAnsi="標楷體" w:hint="eastAsia"/>
                <w:color w:val="auto"/>
                <w:sz w:val="28"/>
                <w:szCs w:val="28"/>
                <w:u w:val="none"/>
              </w:rPr>
              <w:t>)</w:t>
            </w:r>
            <w:r w:rsidR="006B2BF4">
              <w:rPr>
                <w:rFonts w:ascii="標楷體" w:hAnsi="標楷體" w:hint="eastAsia"/>
                <w:color w:val="auto"/>
                <w:sz w:val="28"/>
                <w:szCs w:val="28"/>
                <w:u w:val="none"/>
              </w:rPr>
              <w:t>，</w:t>
            </w:r>
            <w:r w:rsidR="00F14321">
              <w:rPr>
                <w:rFonts w:ascii="標楷體" w:hAnsi="標楷體" w:hint="eastAsia"/>
                <w:color w:val="auto"/>
                <w:sz w:val="28"/>
                <w:szCs w:val="28"/>
                <w:u w:val="none"/>
              </w:rPr>
              <w:t>並</w:t>
            </w:r>
            <w:r w:rsidR="00F14321" w:rsidRPr="00F14321">
              <w:rPr>
                <w:rFonts w:ascii="標楷體" w:hAnsi="標楷體" w:hint="eastAsia"/>
                <w:color w:val="auto"/>
                <w:sz w:val="28"/>
                <w:szCs w:val="28"/>
                <w:u w:val="none"/>
              </w:rPr>
              <w:t>參考</w:t>
            </w:r>
            <w:r w:rsidR="006B2BF4" w:rsidRPr="00480600">
              <w:rPr>
                <w:rFonts w:ascii="標楷體" w:hAnsi="標楷體" w:hint="eastAsia"/>
                <w:color w:val="auto"/>
                <w:sz w:val="28"/>
                <w:szCs w:val="28"/>
                <w:u w:val="none"/>
              </w:rPr>
              <w:t>金管會檢查局【106年度下半年主要檢查缺失-本國銀行】報告(以下簡稱金檢報告)</w:t>
            </w:r>
            <w:r w:rsidR="00F14321" w:rsidRPr="00F14321">
              <w:rPr>
                <w:rFonts w:ascii="標楷體" w:hAnsi="標楷體" w:hint="eastAsia"/>
                <w:color w:val="auto"/>
                <w:sz w:val="28"/>
                <w:szCs w:val="28"/>
                <w:u w:val="none"/>
              </w:rPr>
              <w:t>對於專案型融資聯貸授信案所提改善作法，增訂會員</w:t>
            </w:r>
            <w:r w:rsidR="006B2BF4">
              <w:rPr>
                <w:rFonts w:ascii="標楷體" w:hAnsi="標楷體" w:hint="eastAsia"/>
                <w:color w:val="auto"/>
                <w:sz w:val="28"/>
                <w:szCs w:val="28"/>
                <w:u w:val="none"/>
              </w:rPr>
              <w:t>應訂定</w:t>
            </w:r>
            <w:r w:rsidR="00F14321" w:rsidRPr="00F14321">
              <w:rPr>
                <w:rFonts w:ascii="標楷體" w:hAnsi="標楷體" w:hint="eastAsia"/>
                <w:color w:val="auto"/>
                <w:sz w:val="28"/>
                <w:szCs w:val="28"/>
                <w:u w:val="none"/>
              </w:rPr>
              <w:t>內部管理</w:t>
            </w:r>
            <w:r w:rsidR="006B2BF4">
              <w:rPr>
                <w:rFonts w:ascii="標楷體" w:hAnsi="標楷體" w:hint="eastAsia"/>
                <w:color w:val="auto"/>
                <w:sz w:val="28"/>
                <w:szCs w:val="28"/>
                <w:u w:val="none"/>
              </w:rPr>
              <w:t>規定</w:t>
            </w:r>
            <w:r w:rsidR="00F14321" w:rsidRPr="00F14321">
              <w:rPr>
                <w:rFonts w:ascii="標楷體" w:hAnsi="標楷體" w:hint="eastAsia"/>
                <w:color w:val="auto"/>
                <w:sz w:val="28"/>
                <w:szCs w:val="28"/>
                <w:u w:val="none"/>
              </w:rPr>
              <w:t>，落實風</w:t>
            </w:r>
            <w:r w:rsidR="00F14321" w:rsidRPr="003C63FA">
              <w:rPr>
                <w:rFonts w:ascii="標楷體" w:hAnsi="標楷體" w:hint="eastAsia"/>
                <w:color w:val="auto"/>
                <w:sz w:val="28"/>
                <w:szCs w:val="28"/>
                <w:u w:val="none"/>
              </w:rPr>
              <w:t>險控管。</w:t>
            </w:r>
          </w:p>
          <w:p w:rsidR="001D2A37" w:rsidRPr="003C63FA" w:rsidRDefault="003F5B7D" w:rsidP="00DA3CE1">
            <w:pPr>
              <w:pStyle w:val="aa"/>
              <w:numPr>
                <w:ilvl w:val="0"/>
                <w:numId w:val="11"/>
              </w:numPr>
              <w:wordWrap w:val="0"/>
              <w:spacing w:line="380" w:lineRule="exact"/>
              <w:ind w:leftChars="0" w:left="567" w:firstLineChars="0" w:hanging="567"/>
              <w:jc w:val="both"/>
              <w:rPr>
                <w:rFonts w:ascii="標楷體" w:hAnsi="標楷體"/>
                <w:color w:val="auto"/>
                <w:sz w:val="28"/>
                <w:szCs w:val="28"/>
                <w:u w:val="none"/>
              </w:rPr>
            </w:pPr>
            <w:r w:rsidRPr="004316A2">
              <w:rPr>
                <w:rFonts w:ascii="標楷體" w:hAnsi="標楷體" w:hint="eastAsia"/>
                <w:color w:val="auto"/>
                <w:sz w:val="28"/>
                <w:szCs w:val="28"/>
                <w:u w:val="none"/>
              </w:rPr>
              <w:t>參考會員銀行所提意見，</w:t>
            </w:r>
            <w:r w:rsidR="001D2A37" w:rsidRPr="003C63FA">
              <w:rPr>
                <w:rFonts w:ascii="標楷體" w:hAnsi="標楷體" w:hint="eastAsia"/>
                <w:color w:val="auto"/>
                <w:sz w:val="28"/>
                <w:szCs w:val="28"/>
                <w:u w:val="none"/>
              </w:rPr>
              <w:t>對於銀行辦理盡職調查</w:t>
            </w:r>
            <w:r w:rsidR="007F03D2" w:rsidRPr="003C63FA">
              <w:rPr>
                <w:rFonts w:ascii="標楷體" w:hAnsi="標楷體" w:hint="eastAsia"/>
                <w:color w:val="auto"/>
                <w:sz w:val="28"/>
                <w:szCs w:val="28"/>
                <w:u w:val="none"/>
              </w:rPr>
              <w:t>作</w:t>
            </w:r>
            <w:r w:rsidR="007F03D2" w:rsidRPr="003C63FA">
              <w:rPr>
                <w:rFonts w:ascii="標楷體" w:hAnsi="標楷體" w:hint="eastAsia"/>
                <w:color w:val="auto"/>
                <w:sz w:val="28"/>
                <w:szCs w:val="28"/>
                <w:u w:val="none"/>
              </w:rPr>
              <w:lastRenderedPageBreak/>
              <w:t>業</w:t>
            </w:r>
            <w:r w:rsidR="00EF35F8" w:rsidRPr="003C63FA">
              <w:rPr>
                <w:rFonts w:ascii="標楷體" w:hAnsi="標楷體" w:hint="eastAsia"/>
                <w:color w:val="auto"/>
                <w:sz w:val="28"/>
                <w:szCs w:val="28"/>
                <w:u w:val="none"/>
              </w:rPr>
              <w:t>，增</w:t>
            </w:r>
            <w:r w:rsidRPr="0038730C">
              <w:rPr>
                <w:rFonts w:ascii="標楷體" w:hAnsi="標楷體" w:hint="eastAsia"/>
                <w:color w:val="auto"/>
                <w:sz w:val="28"/>
                <w:szCs w:val="28"/>
                <w:u w:val="none"/>
              </w:rPr>
              <w:t>訂</w:t>
            </w:r>
            <w:r w:rsidR="00EF35F8" w:rsidRPr="003C63FA">
              <w:rPr>
                <w:rFonts w:ascii="標楷體" w:hAnsi="標楷體" w:hint="eastAsia"/>
                <w:color w:val="auto"/>
                <w:sz w:val="28"/>
                <w:szCs w:val="28"/>
                <w:u w:val="none"/>
              </w:rPr>
              <w:t>銀行可</w:t>
            </w:r>
            <w:r w:rsidR="00DE213F" w:rsidRPr="003C63FA">
              <w:rPr>
                <w:rFonts w:ascii="標楷體" w:hAnsi="標楷體" w:hint="eastAsia"/>
                <w:color w:val="auto"/>
                <w:sz w:val="28"/>
                <w:szCs w:val="28"/>
                <w:u w:val="none"/>
              </w:rPr>
              <w:t>委託外部專家(如律師、會計師等)</w:t>
            </w:r>
            <w:r w:rsidR="007F03D2" w:rsidRPr="003C63FA">
              <w:rPr>
                <w:rFonts w:ascii="標楷體" w:hAnsi="標楷體" w:hint="eastAsia"/>
                <w:color w:val="auto"/>
                <w:sz w:val="28"/>
                <w:szCs w:val="28"/>
                <w:u w:val="none"/>
              </w:rPr>
              <w:t>出具評估報告</w:t>
            </w:r>
            <w:r w:rsidR="001D2A37" w:rsidRPr="003C63FA">
              <w:rPr>
                <w:rFonts w:ascii="標楷體" w:hAnsi="標楷體" w:hint="eastAsia"/>
                <w:color w:val="auto"/>
                <w:sz w:val="28"/>
                <w:szCs w:val="28"/>
                <w:u w:val="none"/>
              </w:rPr>
              <w:t>，</w:t>
            </w:r>
            <w:r w:rsidR="00EF35F8" w:rsidRPr="003C63FA">
              <w:rPr>
                <w:rFonts w:ascii="標楷體" w:hAnsi="標楷體" w:hint="eastAsia"/>
                <w:color w:val="auto"/>
                <w:sz w:val="28"/>
                <w:szCs w:val="28"/>
                <w:u w:val="none"/>
              </w:rPr>
              <w:t>爰修正</w:t>
            </w:r>
            <w:r w:rsidR="001D2A37" w:rsidRPr="003C63FA">
              <w:rPr>
                <w:rFonts w:ascii="標楷體" w:hAnsi="標楷體" w:hint="eastAsia"/>
                <w:color w:val="auto"/>
                <w:sz w:val="28"/>
                <w:szCs w:val="28"/>
                <w:u w:val="none"/>
              </w:rPr>
              <w:t>現行條文第(二)</w:t>
            </w:r>
            <w:r w:rsidR="00B737ED">
              <w:rPr>
                <w:rFonts w:ascii="標楷體" w:hAnsi="標楷體" w:hint="eastAsia"/>
                <w:color w:val="auto"/>
                <w:sz w:val="28"/>
                <w:szCs w:val="28"/>
                <w:u w:val="none"/>
              </w:rPr>
              <w:t>款。</w:t>
            </w:r>
          </w:p>
          <w:p w:rsidR="00C67FEF" w:rsidRPr="00480600" w:rsidRDefault="00C67FEF" w:rsidP="00DA3CE1">
            <w:pPr>
              <w:pStyle w:val="aa"/>
              <w:numPr>
                <w:ilvl w:val="0"/>
                <w:numId w:val="11"/>
              </w:numPr>
              <w:wordWrap w:val="0"/>
              <w:spacing w:line="380" w:lineRule="exact"/>
              <w:ind w:leftChars="0" w:left="567" w:firstLineChars="0" w:hanging="567"/>
              <w:jc w:val="both"/>
              <w:rPr>
                <w:rFonts w:ascii="標楷體" w:hAnsi="標楷體"/>
                <w:color w:val="auto"/>
                <w:sz w:val="28"/>
                <w:szCs w:val="28"/>
                <w:u w:val="none"/>
              </w:rPr>
            </w:pPr>
            <w:r w:rsidRPr="00B942A5">
              <w:rPr>
                <w:rFonts w:ascii="標楷體" w:hAnsi="標楷體" w:hint="eastAsia"/>
                <w:color w:val="auto"/>
                <w:sz w:val="28"/>
                <w:szCs w:val="28"/>
                <w:u w:val="none"/>
              </w:rPr>
              <w:t>參考</w:t>
            </w:r>
            <w:r w:rsidR="003F5B7D" w:rsidRPr="00B942A5">
              <w:rPr>
                <w:rFonts w:ascii="標楷體" w:hAnsi="標楷體" w:hint="eastAsia"/>
                <w:color w:val="auto"/>
                <w:sz w:val="28"/>
                <w:szCs w:val="28"/>
                <w:u w:val="none"/>
              </w:rPr>
              <w:t>會員銀行及</w:t>
            </w:r>
            <w:r w:rsidRPr="00480600">
              <w:rPr>
                <w:rFonts w:ascii="標楷體" w:hAnsi="標楷體" w:hint="eastAsia"/>
                <w:color w:val="auto"/>
                <w:sz w:val="28"/>
                <w:szCs w:val="28"/>
                <w:u w:val="none"/>
              </w:rPr>
              <w:t>金檢報告</w:t>
            </w:r>
            <w:r w:rsidR="003F5B7D" w:rsidRPr="00487640">
              <w:rPr>
                <w:rFonts w:ascii="標楷體" w:hAnsi="標楷體" w:hint="eastAsia"/>
                <w:color w:val="auto"/>
                <w:sz w:val="28"/>
                <w:szCs w:val="28"/>
                <w:u w:val="none"/>
              </w:rPr>
              <w:t>所提意見</w:t>
            </w:r>
            <w:r w:rsidRPr="00480600">
              <w:rPr>
                <w:rFonts w:ascii="標楷體" w:hAnsi="標楷體" w:hint="eastAsia"/>
                <w:color w:val="auto"/>
                <w:sz w:val="28"/>
                <w:szCs w:val="28"/>
                <w:u w:val="none"/>
              </w:rPr>
              <w:t>，修正</w:t>
            </w:r>
            <w:r w:rsidR="001C2234">
              <w:rPr>
                <w:rFonts w:ascii="標楷體" w:hAnsi="標楷體" w:hint="eastAsia"/>
                <w:color w:val="auto"/>
                <w:sz w:val="28"/>
                <w:szCs w:val="28"/>
                <w:u w:val="none"/>
              </w:rPr>
              <w:t>現行</w:t>
            </w:r>
            <w:r w:rsidR="001B7829">
              <w:rPr>
                <w:rFonts w:ascii="標楷體" w:hAnsi="標楷體" w:hint="eastAsia"/>
                <w:color w:val="auto"/>
                <w:sz w:val="28"/>
                <w:szCs w:val="28"/>
                <w:u w:val="none"/>
              </w:rPr>
              <w:t>條</w:t>
            </w:r>
            <w:r w:rsidR="001C2234">
              <w:rPr>
                <w:rFonts w:ascii="標楷體" w:hAnsi="標楷體" w:hint="eastAsia"/>
                <w:color w:val="auto"/>
                <w:sz w:val="28"/>
                <w:szCs w:val="28"/>
                <w:u w:val="none"/>
              </w:rPr>
              <w:t>文</w:t>
            </w:r>
            <w:r w:rsidRPr="00480600">
              <w:rPr>
                <w:rFonts w:ascii="標楷體" w:hAnsi="標楷體" w:hint="eastAsia"/>
                <w:color w:val="auto"/>
                <w:sz w:val="28"/>
                <w:szCs w:val="28"/>
                <w:u w:val="none"/>
              </w:rPr>
              <w:t>第(三)款，加強銀行辦理專案融資之風險評估。</w:t>
            </w:r>
          </w:p>
          <w:p w:rsidR="00E87988" w:rsidRPr="008604EA" w:rsidRDefault="00A635B0" w:rsidP="001E5A20">
            <w:pPr>
              <w:pStyle w:val="aa"/>
              <w:numPr>
                <w:ilvl w:val="0"/>
                <w:numId w:val="11"/>
              </w:numPr>
              <w:wordWrap w:val="0"/>
              <w:spacing w:line="380" w:lineRule="exact"/>
              <w:ind w:leftChars="0" w:left="567" w:firstLineChars="0" w:hanging="567"/>
              <w:jc w:val="both"/>
              <w:rPr>
                <w:rFonts w:ascii="標楷體" w:hAnsi="標楷體"/>
                <w:color w:val="auto"/>
                <w:sz w:val="28"/>
                <w:szCs w:val="28"/>
                <w:u w:val="none"/>
              </w:rPr>
            </w:pPr>
            <w:r w:rsidRPr="008604EA">
              <w:rPr>
                <w:rFonts w:ascii="標楷體" w:hAnsi="標楷體" w:hint="eastAsia"/>
                <w:color w:val="auto"/>
                <w:sz w:val="28"/>
                <w:szCs w:val="28"/>
                <w:u w:val="none"/>
              </w:rPr>
              <w:t>配合</w:t>
            </w:r>
            <w:r w:rsidR="00E87988" w:rsidRPr="008604EA">
              <w:rPr>
                <w:rFonts w:ascii="標楷體" w:hAnsi="標楷體" w:hint="eastAsia"/>
                <w:color w:val="auto"/>
                <w:sz w:val="28"/>
                <w:szCs w:val="28"/>
                <w:u w:val="none"/>
              </w:rPr>
              <w:t>本條</w:t>
            </w:r>
            <w:r w:rsidR="007924E5" w:rsidRPr="008604EA">
              <w:rPr>
                <w:rFonts w:ascii="標楷體" w:hAnsi="標楷體" w:hint="eastAsia"/>
                <w:color w:val="auto"/>
                <w:sz w:val="28"/>
                <w:szCs w:val="28"/>
                <w:u w:val="none"/>
              </w:rPr>
              <w:t>之</w:t>
            </w:r>
            <w:r w:rsidR="00E87988" w:rsidRPr="008604EA">
              <w:rPr>
                <w:rFonts w:ascii="標楷體" w:hAnsi="標楷體" w:hint="eastAsia"/>
                <w:color w:val="auto"/>
                <w:sz w:val="28"/>
                <w:szCs w:val="28"/>
                <w:u w:val="none"/>
              </w:rPr>
              <w:t>適用範圍</w:t>
            </w:r>
            <w:r w:rsidR="004737A6" w:rsidRPr="008604EA">
              <w:rPr>
                <w:rFonts w:ascii="標楷體" w:hAnsi="標楷體" w:hint="eastAsia"/>
                <w:color w:val="auto"/>
                <w:sz w:val="28"/>
                <w:szCs w:val="28"/>
                <w:u w:val="none"/>
              </w:rPr>
              <w:t>擴及所有專案融資</w:t>
            </w:r>
            <w:r w:rsidR="00E87988" w:rsidRPr="008604EA">
              <w:rPr>
                <w:rFonts w:ascii="標楷體" w:hAnsi="標楷體" w:hint="eastAsia"/>
                <w:color w:val="auto"/>
                <w:sz w:val="28"/>
                <w:szCs w:val="28"/>
                <w:u w:val="none"/>
              </w:rPr>
              <w:t>，</w:t>
            </w:r>
            <w:r w:rsidRPr="008604EA">
              <w:rPr>
                <w:rFonts w:ascii="標楷體" w:hAnsi="標楷體" w:hint="eastAsia"/>
                <w:color w:val="auto"/>
                <w:sz w:val="28"/>
                <w:szCs w:val="28"/>
                <w:u w:val="none"/>
              </w:rPr>
              <w:t>修正現行條文第(四)款，</w:t>
            </w:r>
            <w:r w:rsidR="004737A6" w:rsidRPr="008604EA">
              <w:rPr>
                <w:rFonts w:ascii="標楷體" w:hAnsi="標楷體" w:hint="eastAsia"/>
                <w:color w:val="auto"/>
                <w:sz w:val="28"/>
                <w:szCs w:val="28"/>
                <w:u w:val="none"/>
              </w:rPr>
              <w:t>將</w:t>
            </w:r>
            <w:r w:rsidRPr="008604EA">
              <w:rPr>
                <w:rFonts w:ascii="標楷體" w:hAnsi="標楷體" w:hint="eastAsia"/>
                <w:color w:val="auto"/>
                <w:sz w:val="28"/>
                <w:szCs w:val="28"/>
                <w:u w:val="none"/>
              </w:rPr>
              <w:t>以信託方式設立專戶控管資金、引進外部專家(律師、會計師等)進行監管、借款人違約時之續建完工機制、退場機制或介入權等</w:t>
            </w:r>
            <w:r w:rsidR="003F5B7D" w:rsidRPr="008604EA">
              <w:rPr>
                <w:rFonts w:ascii="標楷體" w:hAnsi="標楷體" w:hint="eastAsia"/>
                <w:color w:val="auto"/>
                <w:sz w:val="28"/>
                <w:szCs w:val="28"/>
                <w:u w:val="none"/>
              </w:rPr>
              <w:t>風險控管機制</w:t>
            </w:r>
            <w:r w:rsidRPr="008604EA">
              <w:rPr>
                <w:rFonts w:ascii="標楷體" w:hAnsi="標楷體" w:hint="eastAsia"/>
                <w:color w:val="auto"/>
                <w:sz w:val="28"/>
                <w:szCs w:val="28"/>
                <w:u w:val="none"/>
              </w:rPr>
              <w:t>亦擴及</w:t>
            </w:r>
            <w:r w:rsidR="003F5B7D" w:rsidRPr="008604EA">
              <w:rPr>
                <w:rFonts w:ascii="標楷體" w:hAnsi="標楷體" w:hint="eastAsia"/>
                <w:color w:val="auto"/>
                <w:sz w:val="28"/>
                <w:szCs w:val="28"/>
                <w:u w:val="none"/>
              </w:rPr>
              <w:t>適用</w:t>
            </w:r>
            <w:r w:rsidRPr="008604EA">
              <w:rPr>
                <w:rFonts w:ascii="標楷體" w:hAnsi="標楷體" w:hint="eastAsia"/>
                <w:color w:val="auto"/>
                <w:sz w:val="28"/>
                <w:szCs w:val="28"/>
                <w:u w:val="none"/>
              </w:rPr>
              <w:t>所有專案融資</w:t>
            </w:r>
            <w:r w:rsidR="00E87988" w:rsidRPr="008604EA">
              <w:rPr>
                <w:rFonts w:ascii="標楷體" w:hAnsi="標楷體" w:hint="eastAsia"/>
                <w:color w:val="auto"/>
                <w:sz w:val="28"/>
                <w:szCs w:val="28"/>
                <w:u w:val="none"/>
              </w:rPr>
              <w:t>。</w:t>
            </w:r>
          </w:p>
          <w:p w:rsidR="00C67FEF" w:rsidRPr="00453B98" w:rsidRDefault="00C67FEF" w:rsidP="00DA3CE1">
            <w:pPr>
              <w:pStyle w:val="aa"/>
              <w:numPr>
                <w:ilvl w:val="0"/>
                <w:numId w:val="11"/>
              </w:numPr>
              <w:wordWrap w:val="0"/>
              <w:spacing w:line="380" w:lineRule="exact"/>
              <w:ind w:leftChars="0" w:left="567" w:firstLineChars="0" w:hanging="567"/>
              <w:jc w:val="both"/>
              <w:rPr>
                <w:rFonts w:ascii="標楷體" w:hAnsi="標楷體"/>
                <w:color w:val="auto"/>
                <w:sz w:val="28"/>
                <w:szCs w:val="28"/>
                <w:u w:val="none"/>
              </w:rPr>
            </w:pPr>
            <w:r w:rsidRPr="00480600">
              <w:rPr>
                <w:rFonts w:ascii="標楷體" w:hAnsi="標楷體" w:hint="eastAsia"/>
                <w:color w:val="auto"/>
                <w:sz w:val="28"/>
                <w:szCs w:val="28"/>
                <w:u w:val="none"/>
              </w:rPr>
              <w:t>因本準則</w:t>
            </w:r>
            <w:r w:rsidR="00B737ED">
              <w:rPr>
                <w:rFonts w:ascii="標楷體" w:hAnsi="標楷體" w:hint="eastAsia"/>
                <w:color w:val="auto"/>
                <w:sz w:val="28"/>
                <w:szCs w:val="28"/>
                <w:u w:val="none"/>
              </w:rPr>
              <w:t>已增訂</w:t>
            </w:r>
            <w:r w:rsidRPr="00480600">
              <w:rPr>
                <w:rFonts w:ascii="標楷體" w:hAnsi="標楷體" w:hint="eastAsia"/>
                <w:color w:val="auto"/>
                <w:sz w:val="28"/>
                <w:szCs w:val="28"/>
                <w:u w:val="none"/>
              </w:rPr>
              <w:t>第20條之2</w:t>
            </w:r>
            <w:r w:rsidR="00B737ED">
              <w:rPr>
                <w:rFonts w:ascii="標楷體" w:hAnsi="標楷體" w:hint="eastAsia"/>
                <w:color w:val="auto"/>
                <w:sz w:val="28"/>
                <w:szCs w:val="28"/>
                <w:u w:val="none"/>
              </w:rPr>
              <w:t>關於</w:t>
            </w:r>
            <w:r w:rsidRPr="00480600">
              <w:rPr>
                <w:rFonts w:ascii="標楷體" w:hAnsi="標楷體" w:hint="eastAsia"/>
                <w:color w:val="auto"/>
                <w:sz w:val="28"/>
                <w:szCs w:val="28"/>
                <w:u w:val="none"/>
              </w:rPr>
              <w:t>聯貸案相關</w:t>
            </w:r>
            <w:r w:rsidRPr="00453B98">
              <w:rPr>
                <w:rFonts w:ascii="標楷體" w:hAnsi="標楷體" w:hint="eastAsia"/>
                <w:color w:val="auto"/>
                <w:sz w:val="28"/>
                <w:szCs w:val="28"/>
                <w:u w:val="none"/>
              </w:rPr>
              <w:t>規範</w:t>
            </w:r>
            <w:r w:rsidR="00B737ED">
              <w:rPr>
                <w:rFonts w:ascii="標楷體" w:hAnsi="標楷體" w:hint="eastAsia"/>
                <w:color w:val="auto"/>
                <w:sz w:val="28"/>
                <w:szCs w:val="28"/>
                <w:u w:val="none"/>
              </w:rPr>
              <w:t>條文草案(尚待提報理事會核議)</w:t>
            </w:r>
            <w:r w:rsidRPr="00453B98">
              <w:rPr>
                <w:rFonts w:ascii="標楷體" w:hAnsi="標楷體" w:hint="eastAsia"/>
                <w:color w:val="auto"/>
                <w:sz w:val="28"/>
                <w:szCs w:val="28"/>
                <w:u w:val="none"/>
              </w:rPr>
              <w:t>，爰刪除</w:t>
            </w:r>
            <w:r w:rsidR="001C2234" w:rsidRPr="00453B98">
              <w:rPr>
                <w:rFonts w:ascii="標楷體" w:hAnsi="標楷體" w:hint="eastAsia"/>
                <w:color w:val="auto"/>
                <w:sz w:val="28"/>
                <w:szCs w:val="28"/>
                <w:u w:val="none"/>
              </w:rPr>
              <w:t>現行</w:t>
            </w:r>
            <w:r w:rsidR="001B7829" w:rsidRPr="00453B98">
              <w:rPr>
                <w:rFonts w:ascii="標楷體" w:hAnsi="標楷體" w:hint="eastAsia"/>
                <w:color w:val="auto"/>
                <w:sz w:val="28"/>
                <w:szCs w:val="28"/>
                <w:u w:val="none"/>
              </w:rPr>
              <w:t>條</w:t>
            </w:r>
            <w:r w:rsidR="001C2234" w:rsidRPr="00453B98">
              <w:rPr>
                <w:rFonts w:ascii="標楷體" w:hAnsi="標楷體" w:hint="eastAsia"/>
                <w:color w:val="auto"/>
                <w:sz w:val="28"/>
                <w:szCs w:val="28"/>
                <w:u w:val="none"/>
              </w:rPr>
              <w:t>文</w:t>
            </w:r>
            <w:r w:rsidRPr="00453B98">
              <w:rPr>
                <w:rFonts w:ascii="標楷體" w:hAnsi="標楷體" w:hint="eastAsia"/>
                <w:color w:val="auto"/>
                <w:sz w:val="28"/>
                <w:szCs w:val="28"/>
                <w:u w:val="none"/>
              </w:rPr>
              <w:t>第(五)款。</w:t>
            </w:r>
          </w:p>
          <w:p w:rsidR="001072B8" w:rsidRPr="00B94D43" w:rsidRDefault="001C2234" w:rsidP="00DA3CE1">
            <w:pPr>
              <w:pStyle w:val="aa"/>
              <w:numPr>
                <w:ilvl w:val="0"/>
                <w:numId w:val="11"/>
              </w:numPr>
              <w:wordWrap w:val="0"/>
              <w:spacing w:line="380" w:lineRule="exact"/>
              <w:ind w:leftChars="0" w:left="567" w:firstLineChars="0" w:hanging="567"/>
              <w:jc w:val="both"/>
              <w:rPr>
                <w:rFonts w:ascii="標楷體" w:hAnsi="標楷體" w:cs="Courier New"/>
                <w:color w:val="auto"/>
                <w:sz w:val="28"/>
                <w:szCs w:val="28"/>
                <w:u w:val="none"/>
              </w:rPr>
            </w:pPr>
            <w:r w:rsidRPr="00453B98">
              <w:rPr>
                <w:rFonts w:ascii="標楷體" w:hAnsi="標楷體" w:hint="eastAsia"/>
                <w:color w:val="auto"/>
                <w:sz w:val="28"/>
                <w:szCs w:val="28"/>
                <w:u w:val="none"/>
              </w:rPr>
              <w:t>現行</w:t>
            </w:r>
            <w:r w:rsidR="001B7829" w:rsidRPr="00453B98">
              <w:rPr>
                <w:rFonts w:ascii="標楷體" w:hAnsi="標楷體" w:hint="eastAsia"/>
                <w:color w:val="auto"/>
                <w:sz w:val="28"/>
                <w:szCs w:val="28"/>
                <w:u w:val="none"/>
              </w:rPr>
              <w:t>條</w:t>
            </w:r>
            <w:r w:rsidRPr="00453B98">
              <w:rPr>
                <w:rFonts w:ascii="標楷體" w:hAnsi="標楷體" w:hint="eastAsia"/>
                <w:color w:val="auto"/>
                <w:sz w:val="28"/>
                <w:szCs w:val="28"/>
                <w:u w:val="none"/>
              </w:rPr>
              <w:t>文</w:t>
            </w:r>
            <w:r w:rsidR="00C67FEF" w:rsidRPr="00453B98">
              <w:rPr>
                <w:rFonts w:ascii="標楷體" w:hAnsi="標楷體" w:hint="eastAsia"/>
                <w:color w:val="auto"/>
                <w:sz w:val="28"/>
                <w:szCs w:val="28"/>
                <w:u w:val="none"/>
              </w:rPr>
              <w:t>第(六)款配合順移至第</w:t>
            </w:r>
            <w:r w:rsidR="00C67FEF" w:rsidRPr="00453B98">
              <w:rPr>
                <w:rFonts w:ascii="標楷體" w:hAnsi="標楷體" w:hint="eastAsia"/>
                <w:color w:val="auto"/>
                <w:sz w:val="28"/>
                <w:szCs w:val="28"/>
                <w:u w:val="none"/>
              </w:rPr>
              <w:lastRenderedPageBreak/>
              <w:t>(五)款，並</w:t>
            </w:r>
            <w:r w:rsidR="00C67FEF" w:rsidRPr="00DF1600">
              <w:rPr>
                <w:rFonts w:ascii="標楷體" w:hAnsi="標楷體" w:hint="eastAsia"/>
                <w:color w:val="auto"/>
                <w:sz w:val="28"/>
                <w:szCs w:val="28"/>
                <w:u w:val="none"/>
              </w:rPr>
              <w:t>參考</w:t>
            </w:r>
            <w:r w:rsidR="007924E5" w:rsidRPr="00DF1600">
              <w:rPr>
                <w:rFonts w:ascii="標楷體" w:hAnsi="標楷體" w:hint="eastAsia"/>
                <w:color w:val="auto"/>
                <w:sz w:val="28"/>
                <w:szCs w:val="28"/>
                <w:u w:val="none"/>
              </w:rPr>
              <w:t>會員銀行及</w:t>
            </w:r>
            <w:r w:rsidR="00C67FEF" w:rsidRPr="00DF1600">
              <w:rPr>
                <w:rFonts w:ascii="標楷體" w:hAnsi="標楷體" w:hint="eastAsia"/>
                <w:color w:val="auto"/>
                <w:sz w:val="28"/>
                <w:szCs w:val="28"/>
                <w:u w:val="none"/>
              </w:rPr>
              <w:t>金檢報告</w:t>
            </w:r>
            <w:r w:rsidR="007924E5" w:rsidRPr="00DF1600">
              <w:rPr>
                <w:rFonts w:ascii="標楷體" w:hAnsi="標楷體" w:hint="eastAsia"/>
                <w:color w:val="auto"/>
                <w:sz w:val="28"/>
                <w:szCs w:val="28"/>
                <w:u w:val="none"/>
              </w:rPr>
              <w:t>所提意見</w:t>
            </w:r>
            <w:r w:rsidR="00C67FEF" w:rsidRPr="00DF1600">
              <w:rPr>
                <w:rFonts w:ascii="標楷體" w:hAnsi="標楷體" w:hint="eastAsia"/>
                <w:color w:val="auto"/>
                <w:sz w:val="28"/>
                <w:szCs w:val="28"/>
                <w:u w:val="none"/>
              </w:rPr>
              <w:t>，</w:t>
            </w:r>
            <w:r w:rsidR="007924E5" w:rsidRPr="00DF1600">
              <w:rPr>
                <w:rFonts w:ascii="標楷體" w:hAnsi="標楷體" w:hint="eastAsia"/>
                <w:color w:val="auto"/>
                <w:sz w:val="28"/>
                <w:szCs w:val="28"/>
                <w:u w:val="none"/>
              </w:rPr>
              <w:t>增訂評估授信戶及其經營管理階層之負面或異常資訊對債權之影響、</w:t>
            </w:r>
            <w:r w:rsidR="00C67FEF" w:rsidRPr="001072B8">
              <w:rPr>
                <w:rFonts w:ascii="標楷體" w:hAnsi="標楷體" w:hint="eastAsia"/>
                <w:color w:val="auto"/>
                <w:sz w:val="28"/>
                <w:szCs w:val="28"/>
                <w:u w:val="none"/>
              </w:rPr>
              <w:t>強化</w:t>
            </w:r>
            <w:r w:rsidR="00C67FEF" w:rsidRPr="00B94D43">
              <w:rPr>
                <w:rFonts w:ascii="標楷體" w:hAnsi="標楷體" w:hint="eastAsia"/>
                <w:color w:val="auto"/>
                <w:sz w:val="28"/>
                <w:szCs w:val="28"/>
                <w:u w:val="none"/>
              </w:rPr>
              <w:t>控管放款資金撥</w:t>
            </w:r>
            <w:r w:rsidR="007924E5" w:rsidRPr="00B94D43">
              <w:rPr>
                <w:rFonts w:ascii="標楷體" w:hAnsi="標楷體" w:hint="eastAsia"/>
                <w:color w:val="auto"/>
                <w:sz w:val="28"/>
                <w:szCs w:val="28"/>
                <w:u w:val="none"/>
              </w:rPr>
              <w:t>貸</w:t>
            </w:r>
            <w:r w:rsidR="00C67FEF" w:rsidRPr="00B94D43">
              <w:rPr>
                <w:rFonts w:ascii="標楷體" w:hAnsi="標楷體" w:hint="eastAsia"/>
                <w:color w:val="auto"/>
                <w:sz w:val="28"/>
                <w:szCs w:val="28"/>
                <w:u w:val="none"/>
              </w:rPr>
              <w:t>及審查交易文件</w:t>
            </w:r>
            <w:r w:rsidR="007924E5" w:rsidRPr="00B94D43">
              <w:rPr>
                <w:rFonts w:ascii="標楷體" w:hAnsi="標楷體" w:hint="eastAsia"/>
                <w:color w:val="auto"/>
                <w:sz w:val="28"/>
                <w:szCs w:val="28"/>
                <w:u w:val="none"/>
              </w:rPr>
              <w:t>等相關</w:t>
            </w:r>
            <w:r w:rsidR="00C67FEF" w:rsidRPr="00B94D43">
              <w:rPr>
                <w:rFonts w:ascii="標楷體" w:hAnsi="標楷體" w:hint="eastAsia"/>
                <w:color w:val="auto"/>
                <w:sz w:val="28"/>
                <w:szCs w:val="28"/>
                <w:u w:val="none"/>
              </w:rPr>
              <w:t>規範。</w:t>
            </w:r>
            <w:r w:rsidR="001072B8" w:rsidRPr="00B94D43">
              <w:rPr>
                <w:rFonts w:ascii="標楷體" w:hAnsi="標楷體" w:hint="eastAsia"/>
                <w:color w:val="auto"/>
                <w:sz w:val="28"/>
                <w:szCs w:val="28"/>
                <w:u w:val="none"/>
              </w:rPr>
              <w:t>至後段有關</w:t>
            </w:r>
            <w:r w:rsidR="007924E5" w:rsidRPr="00B94D43">
              <w:rPr>
                <w:rFonts w:ascii="標楷體" w:hAnsi="標楷體" w:hint="eastAsia"/>
                <w:color w:val="auto"/>
                <w:sz w:val="28"/>
                <w:szCs w:val="28"/>
                <w:u w:val="none"/>
              </w:rPr>
              <w:t>洽請工程機關出具工程執行進度、支出憑證是否符合工程</w:t>
            </w:r>
            <w:r w:rsidR="001478F5" w:rsidRPr="00B94D43">
              <w:rPr>
                <w:rFonts w:ascii="標楷體" w:hAnsi="標楷體" w:hint="eastAsia"/>
                <w:color w:val="auto"/>
                <w:sz w:val="28"/>
                <w:szCs w:val="28"/>
                <w:u w:val="none"/>
              </w:rPr>
              <w:t>契約</w:t>
            </w:r>
            <w:r w:rsidR="001072B8" w:rsidRPr="00B94D43">
              <w:rPr>
                <w:rFonts w:ascii="標楷體" w:hAnsi="標楷體" w:hint="eastAsia"/>
                <w:color w:val="auto"/>
                <w:sz w:val="28"/>
                <w:szCs w:val="28"/>
                <w:u w:val="none"/>
              </w:rPr>
              <w:t>之</w:t>
            </w:r>
            <w:r w:rsidR="001478F5" w:rsidRPr="00B94D43">
              <w:rPr>
                <w:rFonts w:ascii="標楷體" w:hAnsi="標楷體" w:hint="eastAsia"/>
                <w:color w:val="auto"/>
                <w:sz w:val="28"/>
                <w:szCs w:val="28"/>
                <w:u w:val="none"/>
              </w:rPr>
              <w:t>意見等相關</w:t>
            </w:r>
            <w:r w:rsidR="001072B8" w:rsidRPr="00B94D43">
              <w:rPr>
                <w:rFonts w:ascii="標楷體" w:hAnsi="標楷體" w:hint="eastAsia"/>
                <w:color w:val="auto"/>
                <w:sz w:val="28"/>
                <w:szCs w:val="28"/>
                <w:u w:val="none"/>
              </w:rPr>
              <w:t>規範移列至</w:t>
            </w:r>
            <w:r w:rsidR="009277E5" w:rsidRPr="00B94D43">
              <w:rPr>
                <w:rFonts w:ascii="標楷體" w:hAnsi="標楷體" w:hint="eastAsia"/>
                <w:color w:val="auto"/>
                <w:sz w:val="28"/>
                <w:szCs w:val="28"/>
                <w:u w:val="none"/>
              </w:rPr>
              <w:t>第20條之3</w:t>
            </w:r>
            <w:r w:rsidR="00D05111" w:rsidRPr="00B94D43">
              <w:rPr>
                <w:rFonts w:ascii="標楷體" w:hAnsi="標楷體" w:hint="eastAsia"/>
                <w:color w:val="auto"/>
                <w:sz w:val="28"/>
                <w:szCs w:val="28"/>
                <w:u w:val="none"/>
              </w:rPr>
              <w:t>。</w:t>
            </w:r>
          </w:p>
          <w:p w:rsidR="00C67FEF" w:rsidRPr="001072B8" w:rsidRDefault="001C2234" w:rsidP="00DA3CE1">
            <w:pPr>
              <w:pStyle w:val="aa"/>
              <w:numPr>
                <w:ilvl w:val="0"/>
                <w:numId w:val="11"/>
              </w:numPr>
              <w:wordWrap w:val="0"/>
              <w:spacing w:line="380" w:lineRule="exact"/>
              <w:ind w:leftChars="0" w:left="567" w:firstLineChars="0" w:hanging="567"/>
              <w:jc w:val="both"/>
              <w:rPr>
                <w:rFonts w:ascii="標楷體" w:hAnsi="標楷體" w:cs="Courier New"/>
                <w:color w:val="auto"/>
                <w:sz w:val="28"/>
                <w:szCs w:val="28"/>
                <w:u w:val="none"/>
              </w:rPr>
            </w:pPr>
            <w:r>
              <w:rPr>
                <w:rFonts w:ascii="標楷體" w:hAnsi="標楷體" w:cs="Courier New" w:hint="eastAsia"/>
                <w:color w:val="auto"/>
                <w:sz w:val="28"/>
                <w:szCs w:val="28"/>
                <w:u w:val="none"/>
              </w:rPr>
              <w:t>現行</w:t>
            </w:r>
            <w:r w:rsidR="001B7829" w:rsidRPr="001072B8">
              <w:rPr>
                <w:rFonts w:ascii="標楷體" w:hAnsi="標楷體" w:cs="Courier New" w:hint="eastAsia"/>
                <w:color w:val="auto"/>
                <w:sz w:val="28"/>
                <w:szCs w:val="28"/>
                <w:u w:val="none"/>
              </w:rPr>
              <w:t>條</w:t>
            </w:r>
            <w:r>
              <w:rPr>
                <w:rFonts w:ascii="標楷體" w:hAnsi="標楷體" w:cs="Courier New" w:hint="eastAsia"/>
                <w:color w:val="auto"/>
                <w:sz w:val="28"/>
                <w:szCs w:val="28"/>
                <w:u w:val="none"/>
              </w:rPr>
              <w:t>文</w:t>
            </w:r>
            <w:r w:rsidR="00C67FEF" w:rsidRPr="001072B8">
              <w:rPr>
                <w:rFonts w:ascii="標楷體" w:hAnsi="標楷體" w:cs="Courier New" w:hint="eastAsia"/>
                <w:color w:val="auto"/>
                <w:sz w:val="28"/>
                <w:szCs w:val="28"/>
                <w:u w:val="none"/>
              </w:rPr>
              <w:t>第(七)款配合順移至第(六)款。</w:t>
            </w:r>
          </w:p>
          <w:p w:rsidR="00C67FEF" w:rsidRPr="00480600" w:rsidRDefault="00C67FEF" w:rsidP="001B7829">
            <w:pPr>
              <w:pStyle w:val="aa"/>
              <w:wordWrap w:val="0"/>
              <w:spacing w:line="380" w:lineRule="exact"/>
              <w:ind w:leftChars="0" w:left="567" w:firstLineChars="0" w:firstLine="0"/>
              <w:jc w:val="both"/>
              <w:rPr>
                <w:rFonts w:ascii="標楷體" w:hAnsi="標楷體"/>
                <w:sz w:val="28"/>
                <w:szCs w:val="28"/>
              </w:rPr>
            </w:pPr>
          </w:p>
        </w:tc>
      </w:tr>
      <w:tr w:rsidR="002F621D" w:rsidRPr="00303E49" w:rsidTr="007F0A23">
        <w:tc>
          <w:tcPr>
            <w:tcW w:w="1759" w:type="pct"/>
          </w:tcPr>
          <w:p w:rsidR="002F621D" w:rsidRPr="00801627" w:rsidRDefault="002F621D" w:rsidP="002F621D">
            <w:pPr>
              <w:pStyle w:val="aa"/>
              <w:spacing w:before="100" w:line="380" w:lineRule="exact"/>
              <w:ind w:leftChars="0" w:left="0" w:firstLineChars="0" w:firstLine="0"/>
              <w:jc w:val="both"/>
              <w:rPr>
                <w:rFonts w:ascii="標楷體"/>
                <w:b/>
                <w:color w:val="auto"/>
                <w:sz w:val="28"/>
                <w:szCs w:val="28"/>
              </w:rPr>
            </w:pPr>
            <w:r w:rsidRPr="00801627">
              <w:rPr>
                <w:rFonts w:ascii="標楷體" w:hint="eastAsia"/>
                <w:b/>
                <w:bCs/>
                <w:color w:val="auto"/>
                <w:sz w:val="28"/>
                <w:szCs w:val="28"/>
              </w:rPr>
              <w:lastRenderedPageBreak/>
              <w:t>第20條之2</w:t>
            </w:r>
          </w:p>
          <w:p w:rsidR="002F621D" w:rsidRPr="00801627" w:rsidRDefault="002F621D" w:rsidP="002F621D">
            <w:pPr>
              <w:pStyle w:val="aa"/>
              <w:spacing w:before="100" w:line="380" w:lineRule="exact"/>
              <w:ind w:leftChars="14" w:left="34" w:firstLineChars="0" w:firstLine="0"/>
              <w:jc w:val="both"/>
              <w:rPr>
                <w:rFonts w:ascii="標楷體"/>
                <w:b/>
                <w:color w:val="auto"/>
                <w:sz w:val="28"/>
                <w:szCs w:val="28"/>
              </w:rPr>
            </w:pPr>
            <w:r w:rsidRPr="00801627">
              <w:rPr>
                <w:rFonts w:ascii="標楷體" w:hint="eastAsia"/>
                <w:b/>
                <w:color w:val="auto"/>
                <w:sz w:val="28"/>
                <w:szCs w:val="28"/>
              </w:rPr>
              <w:t>銀行辦理聯合授信(以下簡稱聯貸)案件之主辦行、管理行與參貸行間職責約定及資訊分享事項，應遵循下列原則：</w:t>
            </w:r>
          </w:p>
          <w:p w:rsidR="002F621D" w:rsidRPr="00801627" w:rsidRDefault="002F621D" w:rsidP="00801627">
            <w:pPr>
              <w:pStyle w:val="aa"/>
              <w:spacing w:before="100" w:line="380" w:lineRule="exact"/>
              <w:ind w:leftChars="14" w:left="595" w:hangingChars="200" w:hanging="561"/>
              <w:jc w:val="both"/>
              <w:rPr>
                <w:rFonts w:ascii="標楷體"/>
                <w:b/>
                <w:color w:val="auto"/>
                <w:sz w:val="28"/>
                <w:szCs w:val="28"/>
              </w:rPr>
            </w:pPr>
            <w:r w:rsidRPr="00801627">
              <w:rPr>
                <w:rFonts w:ascii="標楷體" w:hint="eastAsia"/>
                <w:b/>
                <w:color w:val="auto"/>
                <w:sz w:val="28"/>
                <w:szCs w:val="28"/>
              </w:rPr>
              <w:t>(一)職責約定事項：</w:t>
            </w:r>
          </w:p>
          <w:p w:rsidR="002F621D" w:rsidRPr="00801627" w:rsidRDefault="002F621D" w:rsidP="006966BA">
            <w:pPr>
              <w:pStyle w:val="aa"/>
              <w:spacing w:before="100" w:line="380" w:lineRule="exact"/>
              <w:ind w:leftChars="100" w:left="520" w:hanging="280"/>
              <w:jc w:val="both"/>
              <w:rPr>
                <w:rFonts w:ascii="標楷體"/>
                <w:b/>
                <w:color w:val="auto"/>
                <w:sz w:val="28"/>
                <w:szCs w:val="28"/>
              </w:rPr>
            </w:pPr>
            <w:r w:rsidRPr="00801627">
              <w:rPr>
                <w:rFonts w:ascii="標楷體" w:hint="eastAsia"/>
                <w:b/>
                <w:color w:val="auto"/>
                <w:sz w:val="28"/>
                <w:szCs w:val="28"/>
              </w:rPr>
              <w:t>1.主辦行</w:t>
            </w:r>
          </w:p>
          <w:p w:rsidR="002F621D" w:rsidRPr="00801627" w:rsidRDefault="002F621D" w:rsidP="002F621D">
            <w:pPr>
              <w:pStyle w:val="aa"/>
              <w:spacing w:before="100" w:line="380" w:lineRule="exact"/>
              <w:ind w:leftChars="177" w:left="848" w:hangingChars="151" w:hanging="423"/>
              <w:jc w:val="both"/>
              <w:rPr>
                <w:rFonts w:ascii="標楷體"/>
                <w:b/>
                <w:color w:val="auto"/>
                <w:sz w:val="28"/>
                <w:szCs w:val="28"/>
              </w:rPr>
            </w:pPr>
            <w:r w:rsidRPr="00801627">
              <w:rPr>
                <w:rFonts w:ascii="標楷體" w:hint="eastAsia"/>
                <w:b/>
                <w:color w:val="auto"/>
                <w:sz w:val="28"/>
                <w:szCs w:val="28"/>
              </w:rPr>
              <w:t>(1)主辦行應先就申請案借款計畫確實評估其效益與可行性，分析其還款能力。</w:t>
            </w:r>
          </w:p>
          <w:p w:rsidR="002F621D" w:rsidRPr="00801627" w:rsidRDefault="002F621D" w:rsidP="002F621D">
            <w:pPr>
              <w:pStyle w:val="aa"/>
              <w:spacing w:before="100" w:line="380" w:lineRule="exact"/>
              <w:ind w:leftChars="177" w:left="848" w:hangingChars="151" w:hanging="423"/>
              <w:jc w:val="both"/>
              <w:rPr>
                <w:rFonts w:ascii="標楷體"/>
                <w:b/>
                <w:color w:val="auto"/>
                <w:sz w:val="28"/>
                <w:szCs w:val="28"/>
              </w:rPr>
            </w:pPr>
            <w:r w:rsidRPr="00801627">
              <w:rPr>
                <w:rFonts w:ascii="標楷體" w:hint="eastAsia"/>
                <w:b/>
                <w:color w:val="auto"/>
                <w:sz w:val="28"/>
                <w:szCs w:val="28"/>
              </w:rPr>
              <w:t>(2)主辦行如決定籌組聯貸銀行團後，應將其所持有由借款人提供之財、業務徵信資料，提供參貸行分析及評估，並視個案需要製作成聯貸說明書，邀請其他銀行參貸。</w:t>
            </w:r>
          </w:p>
          <w:p w:rsidR="002F621D" w:rsidRPr="00801627" w:rsidRDefault="002F621D" w:rsidP="002F621D">
            <w:pPr>
              <w:pStyle w:val="aa"/>
              <w:spacing w:before="100" w:line="380" w:lineRule="exact"/>
              <w:ind w:leftChars="177" w:left="848" w:hangingChars="151" w:hanging="423"/>
              <w:jc w:val="both"/>
              <w:rPr>
                <w:rFonts w:ascii="標楷體"/>
                <w:b/>
                <w:color w:val="auto"/>
                <w:sz w:val="28"/>
                <w:szCs w:val="28"/>
              </w:rPr>
            </w:pPr>
            <w:r w:rsidRPr="00801627">
              <w:rPr>
                <w:rFonts w:ascii="標楷體" w:hint="eastAsia"/>
                <w:b/>
                <w:color w:val="auto"/>
                <w:sz w:val="28"/>
                <w:szCs w:val="28"/>
              </w:rPr>
              <w:t>(3)如主辦行就該個案製有聯貸說明書，應請借款人或其授權之人確認並聲明內容均屬真實無誤。</w:t>
            </w:r>
          </w:p>
          <w:p w:rsidR="002F621D" w:rsidRPr="00801627" w:rsidRDefault="002F621D" w:rsidP="002F621D">
            <w:pPr>
              <w:pStyle w:val="aa"/>
              <w:spacing w:before="100" w:line="380" w:lineRule="exact"/>
              <w:ind w:leftChars="177" w:left="848" w:hangingChars="151" w:hanging="423"/>
              <w:jc w:val="both"/>
              <w:rPr>
                <w:rFonts w:ascii="標楷體"/>
                <w:b/>
                <w:color w:val="auto"/>
                <w:sz w:val="28"/>
                <w:szCs w:val="28"/>
              </w:rPr>
            </w:pPr>
            <w:r w:rsidRPr="00801627">
              <w:rPr>
                <w:rFonts w:ascii="標楷體" w:hint="eastAsia"/>
                <w:b/>
                <w:color w:val="auto"/>
                <w:sz w:val="28"/>
                <w:szCs w:val="28"/>
              </w:rPr>
              <w:t>(4)主辦行應視個案需要，聯繫有意願參貸之銀行召開聯貸說明會。</w:t>
            </w:r>
          </w:p>
          <w:p w:rsidR="002F621D" w:rsidRPr="00801627" w:rsidRDefault="002F621D" w:rsidP="002F621D">
            <w:pPr>
              <w:pStyle w:val="aa"/>
              <w:spacing w:before="100" w:line="380" w:lineRule="exact"/>
              <w:ind w:leftChars="177" w:left="848" w:hangingChars="151" w:hanging="423"/>
              <w:jc w:val="both"/>
              <w:rPr>
                <w:rFonts w:ascii="標楷體"/>
                <w:b/>
                <w:color w:val="auto"/>
                <w:sz w:val="28"/>
                <w:szCs w:val="28"/>
              </w:rPr>
            </w:pPr>
            <w:r w:rsidRPr="00801627">
              <w:rPr>
                <w:rFonts w:ascii="標楷體" w:hint="eastAsia"/>
                <w:b/>
                <w:color w:val="auto"/>
                <w:sz w:val="28"/>
                <w:szCs w:val="28"/>
              </w:rPr>
              <w:lastRenderedPageBreak/>
              <w:t>(5)主辦行應於聯貸合約訂明授信條件、主辦行、管理行與參貸行間之權利義務，及銀行與借款人間之權利義務，並安排與借款人辦理簽約事宜。</w:t>
            </w:r>
          </w:p>
          <w:p w:rsidR="002F621D" w:rsidRPr="00801627" w:rsidRDefault="002F621D" w:rsidP="006966BA">
            <w:pPr>
              <w:pStyle w:val="aa"/>
              <w:spacing w:before="100" w:line="380" w:lineRule="exact"/>
              <w:ind w:leftChars="100" w:left="520" w:hanging="280"/>
              <w:jc w:val="both"/>
              <w:rPr>
                <w:rFonts w:ascii="標楷體"/>
                <w:b/>
                <w:color w:val="auto"/>
                <w:sz w:val="28"/>
                <w:szCs w:val="28"/>
              </w:rPr>
            </w:pPr>
            <w:r w:rsidRPr="00801627">
              <w:rPr>
                <w:rFonts w:ascii="標楷體" w:hint="eastAsia"/>
                <w:b/>
                <w:color w:val="auto"/>
                <w:sz w:val="28"/>
                <w:szCs w:val="28"/>
              </w:rPr>
              <w:t>2.管理行</w:t>
            </w:r>
          </w:p>
          <w:p w:rsidR="002F621D" w:rsidRPr="00801627" w:rsidRDefault="002F621D" w:rsidP="002F621D">
            <w:pPr>
              <w:pStyle w:val="aa"/>
              <w:spacing w:before="100" w:line="380" w:lineRule="exact"/>
              <w:ind w:leftChars="235" w:left="565" w:firstLineChars="0" w:hanging="1"/>
              <w:jc w:val="both"/>
              <w:rPr>
                <w:rFonts w:ascii="標楷體"/>
                <w:b/>
                <w:color w:val="auto"/>
                <w:sz w:val="28"/>
                <w:szCs w:val="28"/>
              </w:rPr>
            </w:pPr>
            <w:r w:rsidRPr="00801627">
              <w:rPr>
                <w:rFonts w:ascii="標楷體" w:hint="eastAsia"/>
                <w:b/>
                <w:color w:val="auto"/>
                <w:sz w:val="28"/>
                <w:szCs w:val="28"/>
              </w:rPr>
              <w:t>管理行應視聯貸合約規定，辦理擔保品管理、保險、撥貸、貸款用途及資金流向追蹤、收取本息、貸後管理等有關事宜，並依聯貸合約約定向參貸行通知。</w:t>
            </w:r>
          </w:p>
          <w:p w:rsidR="002F621D" w:rsidRPr="00801627" w:rsidRDefault="002F621D" w:rsidP="006966BA">
            <w:pPr>
              <w:pStyle w:val="aa"/>
              <w:spacing w:before="100" w:line="380" w:lineRule="exact"/>
              <w:ind w:leftChars="100" w:left="520" w:hanging="280"/>
              <w:jc w:val="both"/>
              <w:rPr>
                <w:rFonts w:ascii="標楷體"/>
                <w:b/>
                <w:color w:val="auto"/>
                <w:sz w:val="28"/>
                <w:szCs w:val="28"/>
              </w:rPr>
            </w:pPr>
            <w:r w:rsidRPr="00801627">
              <w:rPr>
                <w:rFonts w:ascii="標楷體" w:hint="eastAsia"/>
                <w:b/>
                <w:color w:val="auto"/>
                <w:sz w:val="28"/>
                <w:szCs w:val="28"/>
              </w:rPr>
              <w:t>3.參貸行</w:t>
            </w:r>
          </w:p>
          <w:p w:rsidR="002F621D" w:rsidRPr="00801627" w:rsidRDefault="002F621D" w:rsidP="002F621D">
            <w:pPr>
              <w:pStyle w:val="aa"/>
              <w:spacing w:before="100" w:line="380" w:lineRule="exact"/>
              <w:ind w:leftChars="177" w:left="848" w:hangingChars="151" w:hanging="423"/>
              <w:jc w:val="both"/>
              <w:rPr>
                <w:rFonts w:ascii="標楷體"/>
                <w:b/>
                <w:color w:val="auto"/>
                <w:sz w:val="28"/>
                <w:szCs w:val="28"/>
              </w:rPr>
            </w:pPr>
            <w:r w:rsidRPr="00801627">
              <w:rPr>
                <w:rFonts w:ascii="標楷體" w:hint="eastAsia"/>
                <w:b/>
                <w:color w:val="auto"/>
                <w:sz w:val="28"/>
                <w:szCs w:val="28"/>
              </w:rPr>
              <w:t>(1)參貸行應評估分析聯貸案之可行性與合理性，並依內部程序簽報後，作成是否參加聯貸之決定。</w:t>
            </w:r>
          </w:p>
          <w:p w:rsidR="002F621D" w:rsidRPr="00801627" w:rsidRDefault="002F621D" w:rsidP="002F621D">
            <w:pPr>
              <w:pStyle w:val="aa"/>
              <w:spacing w:before="100" w:line="380" w:lineRule="exact"/>
              <w:ind w:leftChars="177" w:left="848" w:hangingChars="151" w:hanging="423"/>
              <w:jc w:val="both"/>
              <w:rPr>
                <w:rFonts w:ascii="標楷體"/>
                <w:b/>
                <w:color w:val="auto"/>
                <w:sz w:val="28"/>
                <w:szCs w:val="28"/>
              </w:rPr>
            </w:pPr>
            <w:r w:rsidRPr="00801627">
              <w:rPr>
                <w:rFonts w:ascii="標楷體" w:hint="eastAsia"/>
                <w:b/>
                <w:color w:val="auto"/>
                <w:sz w:val="28"/>
                <w:szCs w:val="28"/>
              </w:rPr>
              <w:t>(2)在評估過程中，應儘可能調查借款人現況、信用度、營運、財務狀況及行業市場資訊等，以達成審慎獨立之判斷。</w:t>
            </w:r>
          </w:p>
          <w:p w:rsidR="002F621D" w:rsidRPr="00801627" w:rsidRDefault="002F621D" w:rsidP="002F621D">
            <w:pPr>
              <w:pStyle w:val="aa"/>
              <w:spacing w:before="100" w:line="380" w:lineRule="exact"/>
              <w:ind w:leftChars="177" w:left="848" w:hangingChars="151" w:hanging="423"/>
              <w:jc w:val="both"/>
              <w:rPr>
                <w:rFonts w:ascii="標楷體"/>
                <w:b/>
                <w:color w:val="auto"/>
                <w:sz w:val="28"/>
                <w:szCs w:val="28"/>
              </w:rPr>
            </w:pPr>
            <w:r w:rsidRPr="00801627">
              <w:rPr>
                <w:rFonts w:ascii="標楷體" w:hint="eastAsia"/>
                <w:b/>
                <w:color w:val="auto"/>
                <w:sz w:val="28"/>
                <w:szCs w:val="28"/>
              </w:rPr>
              <w:t>(3)參貸行應視個案需要，向主辦行或管理行查詢聯貸案管理情形，並請其協助調</w:t>
            </w:r>
            <w:r w:rsidRPr="00801627">
              <w:rPr>
                <w:rFonts w:ascii="標楷體" w:hint="eastAsia"/>
                <w:b/>
                <w:color w:val="auto"/>
                <w:sz w:val="28"/>
                <w:szCs w:val="28"/>
              </w:rPr>
              <w:lastRenderedPageBreak/>
              <w:t>閱相關資料或向借保人或本案關係人要求辦理實地訪察及勘廠；必要時得請主辦行或管理行向借保人或本案關係人要求委請公正第三方(如會計師或其他專業機構)出具評估報告。</w:t>
            </w:r>
          </w:p>
          <w:p w:rsidR="002F621D" w:rsidRPr="00801627" w:rsidRDefault="002F621D" w:rsidP="00801627">
            <w:pPr>
              <w:pStyle w:val="aa"/>
              <w:spacing w:before="100" w:line="380" w:lineRule="exact"/>
              <w:ind w:leftChars="14" w:left="595" w:hangingChars="200" w:hanging="561"/>
              <w:jc w:val="both"/>
              <w:rPr>
                <w:rFonts w:ascii="標楷體"/>
                <w:b/>
                <w:color w:val="auto"/>
                <w:sz w:val="28"/>
                <w:szCs w:val="28"/>
              </w:rPr>
            </w:pPr>
            <w:r w:rsidRPr="00801627">
              <w:rPr>
                <w:rFonts w:ascii="標楷體" w:hint="eastAsia"/>
                <w:b/>
                <w:color w:val="auto"/>
                <w:sz w:val="28"/>
                <w:szCs w:val="28"/>
              </w:rPr>
              <w:t>(二)資訊分享事項：</w:t>
            </w:r>
          </w:p>
          <w:p w:rsidR="002F621D" w:rsidRPr="00801627" w:rsidRDefault="002F621D" w:rsidP="006966BA">
            <w:pPr>
              <w:pStyle w:val="aa"/>
              <w:spacing w:before="100" w:line="380" w:lineRule="exact"/>
              <w:ind w:leftChars="100" w:left="520" w:hanging="280"/>
              <w:jc w:val="both"/>
              <w:rPr>
                <w:rFonts w:ascii="標楷體"/>
                <w:b/>
                <w:color w:val="auto"/>
                <w:sz w:val="28"/>
                <w:szCs w:val="28"/>
              </w:rPr>
            </w:pPr>
            <w:r w:rsidRPr="00801627">
              <w:rPr>
                <w:rFonts w:ascii="標楷體" w:hint="eastAsia"/>
                <w:b/>
                <w:color w:val="auto"/>
                <w:sz w:val="28"/>
                <w:szCs w:val="28"/>
              </w:rPr>
              <w:t>1.主辦行、管理行及參貸行得相互提供借保人相關資料供雙方進行查調分析。</w:t>
            </w:r>
          </w:p>
          <w:p w:rsidR="002F621D" w:rsidRPr="00801627" w:rsidRDefault="002F621D" w:rsidP="006966BA">
            <w:pPr>
              <w:pStyle w:val="aa"/>
              <w:spacing w:before="100" w:line="380" w:lineRule="exact"/>
              <w:ind w:leftChars="100" w:left="520" w:hanging="280"/>
              <w:jc w:val="both"/>
              <w:rPr>
                <w:rFonts w:ascii="標楷體"/>
                <w:b/>
                <w:color w:val="auto"/>
                <w:sz w:val="28"/>
                <w:szCs w:val="28"/>
              </w:rPr>
            </w:pPr>
            <w:r w:rsidRPr="00801627">
              <w:rPr>
                <w:rFonts w:ascii="標楷體" w:hint="eastAsia"/>
                <w:b/>
                <w:color w:val="auto"/>
                <w:sz w:val="28"/>
                <w:szCs w:val="28"/>
              </w:rPr>
              <w:t>2.借保人發生不良記錄、重大違約情事或知悉有其他突發事件發生者，管理行應依聯貸合約進行處理，以維聯貸銀行團債權，同時通知參貸行，並視需要召開聯貸會議，檢討聯貸案之執行。</w:t>
            </w:r>
          </w:p>
          <w:p w:rsidR="002F621D" w:rsidRPr="00801627" w:rsidRDefault="002F621D" w:rsidP="006966BA">
            <w:pPr>
              <w:pStyle w:val="aa"/>
              <w:spacing w:before="100" w:line="380" w:lineRule="exact"/>
              <w:ind w:leftChars="100" w:left="520" w:hanging="280"/>
              <w:jc w:val="both"/>
              <w:rPr>
                <w:rFonts w:ascii="標楷體"/>
                <w:b/>
                <w:color w:val="auto"/>
                <w:sz w:val="28"/>
                <w:szCs w:val="28"/>
              </w:rPr>
            </w:pPr>
            <w:r w:rsidRPr="00801627">
              <w:rPr>
                <w:rFonts w:ascii="標楷體" w:hint="eastAsia"/>
                <w:b/>
                <w:color w:val="auto"/>
                <w:sz w:val="28"/>
                <w:szCs w:val="28"/>
              </w:rPr>
              <w:t>3.參貸行知悉借保人有不良記錄或突發事件發生者，亦應通知管理行。</w:t>
            </w:r>
          </w:p>
          <w:p w:rsidR="002F621D" w:rsidRPr="00801627" w:rsidRDefault="002F621D" w:rsidP="006966BA">
            <w:pPr>
              <w:pStyle w:val="aa"/>
              <w:spacing w:before="100" w:line="380" w:lineRule="exact"/>
              <w:ind w:leftChars="100" w:left="520" w:hanging="280"/>
              <w:jc w:val="both"/>
              <w:rPr>
                <w:rFonts w:ascii="標楷體"/>
                <w:b/>
                <w:color w:val="auto"/>
                <w:sz w:val="28"/>
                <w:szCs w:val="28"/>
              </w:rPr>
            </w:pPr>
            <w:r w:rsidRPr="00801627">
              <w:rPr>
                <w:rFonts w:ascii="標楷體" w:hint="eastAsia"/>
                <w:b/>
                <w:color w:val="auto"/>
                <w:sz w:val="28"/>
                <w:szCs w:val="28"/>
              </w:rPr>
              <w:t>4.主辦行或管理行對於參貸行為債權保障或風險管理需求，所提出之合理查詢事項，應協助參貸行轉知借保人</w:t>
            </w:r>
            <w:r w:rsidRPr="00801627">
              <w:rPr>
                <w:rFonts w:ascii="標楷體" w:hint="eastAsia"/>
                <w:b/>
                <w:color w:val="auto"/>
                <w:sz w:val="28"/>
                <w:szCs w:val="28"/>
              </w:rPr>
              <w:lastRenderedPageBreak/>
              <w:t>或本案關係人，並將查詢結果回復參貸行。</w:t>
            </w:r>
          </w:p>
          <w:p w:rsidR="002F621D" w:rsidRPr="00801627" w:rsidRDefault="002F621D" w:rsidP="006966BA">
            <w:pPr>
              <w:pStyle w:val="aa"/>
              <w:spacing w:before="100" w:line="380" w:lineRule="exact"/>
              <w:ind w:leftChars="100" w:left="520" w:hanging="280"/>
              <w:jc w:val="both"/>
              <w:rPr>
                <w:rFonts w:asciiTheme="minorEastAsia" w:hAnsiTheme="minorEastAsia"/>
                <w:b/>
                <w:color w:val="1F497D" w:themeColor="dark2"/>
              </w:rPr>
            </w:pPr>
            <w:r w:rsidRPr="00801627">
              <w:rPr>
                <w:rFonts w:ascii="標楷體" w:hint="eastAsia"/>
                <w:b/>
                <w:color w:val="auto"/>
                <w:sz w:val="28"/>
                <w:szCs w:val="28"/>
              </w:rPr>
              <w:t>5.管理行應依聯貸合約約定，要求借款人定期提供相關財務報表資料，並轉知參貸行。</w:t>
            </w:r>
          </w:p>
        </w:tc>
        <w:tc>
          <w:tcPr>
            <w:tcW w:w="1759" w:type="pct"/>
          </w:tcPr>
          <w:p w:rsidR="002F621D" w:rsidRPr="00303E49" w:rsidRDefault="002F621D" w:rsidP="002F621D">
            <w:pPr>
              <w:pStyle w:val="aa"/>
              <w:spacing w:before="100" w:line="380" w:lineRule="exact"/>
              <w:ind w:leftChars="0" w:left="0" w:firstLineChars="0" w:firstLine="0"/>
              <w:jc w:val="both"/>
              <w:rPr>
                <w:rFonts w:ascii="標楷體"/>
                <w:bCs/>
                <w:color w:val="auto"/>
                <w:sz w:val="28"/>
                <w:szCs w:val="28"/>
                <w:u w:val="none"/>
              </w:rPr>
            </w:pPr>
            <w:r>
              <w:rPr>
                <w:rFonts w:ascii="標楷體" w:hint="eastAsia"/>
                <w:bCs/>
                <w:color w:val="auto"/>
                <w:sz w:val="28"/>
                <w:szCs w:val="28"/>
                <w:u w:val="none"/>
              </w:rPr>
              <w:lastRenderedPageBreak/>
              <w:t>(本條新增)</w:t>
            </w:r>
          </w:p>
        </w:tc>
        <w:tc>
          <w:tcPr>
            <w:tcW w:w="1482" w:type="pct"/>
          </w:tcPr>
          <w:p w:rsidR="002F621D" w:rsidRPr="00303E49" w:rsidRDefault="00AF722F" w:rsidP="00AF722F">
            <w:pPr>
              <w:pStyle w:val="aa"/>
              <w:wordWrap w:val="0"/>
              <w:spacing w:line="380" w:lineRule="exact"/>
              <w:ind w:leftChars="0" w:left="0" w:firstLineChars="0" w:firstLine="0"/>
              <w:jc w:val="both"/>
              <w:rPr>
                <w:rFonts w:ascii="標楷體" w:hAnsi="標楷體"/>
                <w:color w:val="auto"/>
                <w:sz w:val="28"/>
                <w:szCs w:val="28"/>
                <w:u w:val="none"/>
              </w:rPr>
            </w:pPr>
            <w:r w:rsidRPr="00AF722F">
              <w:rPr>
                <w:rFonts w:ascii="標楷體" w:hAnsi="標楷體" w:hint="eastAsia"/>
                <w:color w:val="auto"/>
                <w:sz w:val="28"/>
                <w:szCs w:val="28"/>
                <w:u w:val="none"/>
              </w:rPr>
              <w:t>依據金管會107年1月23日金管銀控字第10702700130號函規定，增訂銀行辦理聯貸案之主辦行與參貸行間職責約定及資訊分享事項相關自律規範</w:t>
            </w:r>
            <w:r>
              <w:rPr>
                <w:rFonts w:ascii="標楷體" w:hAnsi="標楷體" w:hint="eastAsia"/>
                <w:color w:val="auto"/>
                <w:sz w:val="28"/>
                <w:szCs w:val="28"/>
                <w:u w:val="none"/>
              </w:rPr>
              <w:t>。</w:t>
            </w:r>
          </w:p>
        </w:tc>
      </w:tr>
      <w:tr w:rsidR="002F621D" w:rsidRPr="00303E49" w:rsidTr="007F0A23">
        <w:tc>
          <w:tcPr>
            <w:tcW w:w="1759" w:type="pct"/>
          </w:tcPr>
          <w:p w:rsidR="002F621D" w:rsidRPr="00801627" w:rsidRDefault="002F621D" w:rsidP="002F621D">
            <w:pPr>
              <w:pStyle w:val="aa"/>
              <w:spacing w:before="100" w:line="380" w:lineRule="exact"/>
              <w:ind w:leftChars="0" w:left="0" w:firstLineChars="0" w:firstLine="0"/>
              <w:jc w:val="both"/>
              <w:rPr>
                <w:rFonts w:ascii="標楷體"/>
                <w:b/>
                <w:color w:val="auto"/>
                <w:sz w:val="28"/>
                <w:szCs w:val="28"/>
              </w:rPr>
            </w:pPr>
            <w:r w:rsidRPr="00801627">
              <w:rPr>
                <w:rFonts w:ascii="標楷體" w:hint="eastAsia"/>
                <w:b/>
                <w:bCs/>
                <w:color w:val="auto"/>
                <w:sz w:val="28"/>
                <w:szCs w:val="28"/>
              </w:rPr>
              <w:lastRenderedPageBreak/>
              <w:t>第20條之3</w:t>
            </w:r>
            <w:r w:rsidRPr="00801627">
              <w:rPr>
                <w:rFonts w:ascii="標楷體" w:hint="eastAsia"/>
                <w:b/>
                <w:color w:val="auto"/>
                <w:sz w:val="28"/>
                <w:szCs w:val="28"/>
              </w:rPr>
              <w:t xml:space="preserve"> </w:t>
            </w:r>
          </w:p>
          <w:p w:rsidR="00AE1D18" w:rsidRPr="00BF7939" w:rsidRDefault="00AE1D18" w:rsidP="00AE1D18">
            <w:pPr>
              <w:pStyle w:val="aa"/>
              <w:spacing w:line="380" w:lineRule="exact"/>
              <w:ind w:leftChars="0" w:left="0" w:firstLineChars="0" w:firstLine="0"/>
              <w:jc w:val="both"/>
              <w:rPr>
                <w:rFonts w:ascii="標楷體" w:hAnsi="標楷體"/>
                <w:b/>
                <w:bCs/>
                <w:color w:val="000000" w:themeColor="text1"/>
                <w:sz w:val="28"/>
                <w:szCs w:val="28"/>
              </w:rPr>
            </w:pPr>
            <w:r>
              <w:rPr>
                <w:rFonts w:ascii="標楷體" w:hAnsi="標楷體" w:hint="eastAsia"/>
                <w:b/>
                <w:bCs/>
                <w:color w:val="auto"/>
                <w:sz w:val="28"/>
                <w:szCs w:val="28"/>
              </w:rPr>
              <w:t>會員辦理政</w:t>
            </w:r>
            <w:r w:rsidRPr="00BF7939">
              <w:rPr>
                <w:rFonts w:ascii="標楷體" w:hAnsi="標楷體" w:hint="eastAsia"/>
                <w:b/>
                <w:bCs/>
                <w:color w:val="000000" w:themeColor="text1"/>
                <w:sz w:val="28"/>
                <w:szCs w:val="28"/>
              </w:rPr>
              <w:t>府採購且聯貸金額達50億元以上者，得與採購機關、借款人共同簽訂行政院公共工程委員會(以下簡稱工程會)頒定之「重大政府採購得標廠商與銀行及採購機關三方協議書」</w:t>
            </w:r>
            <w:r w:rsidR="00216833" w:rsidRPr="00BF7939">
              <w:rPr>
                <w:rFonts w:ascii="標楷體" w:hAnsi="標楷體" w:hint="eastAsia"/>
                <w:b/>
                <w:bCs/>
                <w:color w:val="000000" w:themeColor="text1"/>
                <w:sz w:val="28"/>
                <w:szCs w:val="28"/>
              </w:rPr>
              <w:t>（以下簡稱「三方協議書」）</w:t>
            </w:r>
            <w:r w:rsidRPr="00BF7939">
              <w:rPr>
                <w:rFonts w:ascii="標楷體" w:hAnsi="標楷體" w:hint="eastAsia"/>
                <w:b/>
                <w:bCs/>
                <w:color w:val="000000" w:themeColor="text1"/>
                <w:sz w:val="28"/>
                <w:szCs w:val="28"/>
              </w:rPr>
              <w:t>，內容包括採購契約款應撥入專戶控管、撥入專戶方式非經會員同意不得變更、借款人動用專戶款項應以專款專用為原則；且會員得向採購機關查詢採購契約內容、履約情形，並得向採購機關查詢依採購契約約定應提出之請款單據、估驗報告或估驗計價單等。</w:t>
            </w:r>
          </w:p>
          <w:p w:rsidR="002F621D" w:rsidRPr="00AE1D18" w:rsidRDefault="00AE1D18" w:rsidP="00216833">
            <w:pPr>
              <w:pStyle w:val="aa"/>
              <w:spacing w:line="380" w:lineRule="exact"/>
              <w:ind w:leftChars="0" w:left="0" w:firstLineChars="0" w:firstLine="0"/>
              <w:jc w:val="both"/>
              <w:rPr>
                <w:rFonts w:ascii="標楷體"/>
                <w:b/>
                <w:bCs/>
                <w:sz w:val="28"/>
                <w:szCs w:val="28"/>
              </w:rPr>
            </w:pPr>
            <w:r w:rsidRPr="00BF7939">
              <w:rPr>
                <w:rFonts w:ascii="標楷體" w:hAnsi="標楷體" w:hint="eastAsia"/>
                <w:b/>
                <w:bCs/>
                <w:color w:val="000000" w:themeColor="text1"/>
                <w:sz w:val="28"/>
                <w:szCs w:val="28"/>
              </w:rPr>
              <w:t>前項</w:t>
            </w:r>
            <w:r w:rsidR="00216833" w:rsidRPr="00BF7939">
              <w:rPr>
                <w:rFonts w:ascii="標楷體" w:hAnsi="標楷體" w:hint="eastAsia"/>
                <w:b/>
                <w:bCs/>
                <w:color w:val="000000" w:themeColor="text1"/>
                <w:sz w:val="28"/>
                <w:szCs w:val="28"/>
              </w:rPr>
              <w:t>「三方協議書」</w:t>
            </w:r>
            <w:r w:rsidRPr="00BF7939">
              <w:rPr>
                <w:rFonts w:ascii="標楷體" w:hAnsi="標楷體" w:hint="eastAsia"/>
                <w:b/>
                <w:bCs/>
                <w:color w:val="000000" w:themeColor="text1"/>
                <w:sz w:val="28"/>
                <w:szCs w:val="28"/>
              </w:rPr>
              <w:t>內容，依工程會107年6月29日工程企字第10700199980號函規定，會員得視個案情形調整，並與採購機關、借款人三方合</w:t>
            </w:r>
            <w:r w:rsidR="004968D1" w:rsidRPr="00BF7939">
              <w:rPr>
                <w:rFonts w:ascii="標楷體" w:hAnsi="標楷體" w:hint="eastAsia"/>
                <w:b/>
                <w:bCs/>
                <w:color w:val="000000" w:themeColor="text1"/>
                <w:sz w:val="28"/>
                <w:szCs w:val="28"/>
              </w:rPr>
              <w:t>意</w:t>
            </w:r>
            <w:r w:rsidRPr="00BF7939">
              <w:rPr>
                <w:rFonts w:ascii="標楷體" w:hAnsi="標楷體" w:hint="eastAsia"/>
                <w:b/>
                <w:bCs/>
                <w:color w:val="000000" w:themeColor="text1"/>
                <w:sz w:val="28"/>
                <w:szCs w:val="28"/>
              </w:rPr>
              <w:t>後簽訂。</w:t>
            </w:r>
          </w:p>
        </w:tc>
        <w:tc>
          <w:tcPr>
            <w:tcW w:w="1759" w:type="pct"/>
          </w:tcPr>
          <w:p w:rsidR="002F621D" w:rsidRPr="00303E49" w:rsidRDefault="002F621D" w:rsidP="002F621D">
            <w:pPr>
              <w:pStyle w:val="aa"/>
              <w:spacing w:before="100" w:line="380" w:lineRule="exact"/>
              <w:ind w:leftChars="0" w:left="0" w:firstLineChars="0" w:firstLine="0"/>
              <w:jc w:val="both"/>
              <w:rPr>
                <w:rFonts w:ascii="標楷體"/>
                <w:color w:val="auto"/>
                <w:sz w:val="28"/>
                <w:szCs w:val="28"/>
                <w:u w:val="none"/>
              </w:rPr>
            </w:pPr>
            <w:r w:rsidRPr="00303E49">
              <w:rPr>
                <w:rFonts w:ascii="標楷體" w:hint="eastAsia"/>
                <w:bCs/>
                <w:color w:val="auto"/>
                <w:sz w:val="28"/>
                <w:szCs w:val="28"/>
                <w:u w:val="none"/>
              </w:rPr>
              <w:t>(本條新增)</w:t>
            </w:r>
          </w:p>
        </w:tc>
        <w:tc>
          <w:tcPr>
            <w:tcW w:w="1482" w:type="pct"/>
          </w:tcPr>
          <w:p w:rsidR="002F621D" w:rsidRPr="00303E49" w:rsidRDefault="002F621D" w:rsidP="002F621D">
            <w:pPr>
              <w:pStyle w:val="aa"/>
              <w:numPr>
                <w:ilvl w:val="0"/>
                <w:numId w:val="12"/>
              </w:numPr>
              <w:wordWrap w:val="0"/>
              <w:spacing w:line="380" w:lineRule="exact"/>
              <w:ind w:leftChars="0" w:firstLineChars="0"/>
              <w:jc w:val="both"/>
              <w:rPr>
                <w:rFonts w:ascii="標楷體" w:hAnsi="標楷體"/>
                <w:color w:val="auto"/>
                <w:sz w:val="28"/>
                <w:szCs w:val="28"/>
                <w:u w:val="none"/>
              </w:rPr>
            </w:pPr>
            <w:r w:rsidRPr="00303E49">
              <w:rPr>
                <w:rFonts w:ascii="標楷體" w:hAnsi="標楷體" w:hint="eastAsia"/>
                <w:color w:val="auto"/>
                <w:sz w:val="28"/>
                <w:szCs w:val="28"/>
                <w:u w:val="none"/>
              </w:rPr>
              <w:t>本條由現行條文第20條之1第(六)款後段移列修正。</w:t>
            </w:r>
          </w:p>
          <w:p w:rsidR="002F621D" w:rsidRPr="00303E49" w:rsidRDefault="002F621D" w:rsidP="002F621D">
            <w:pPr>
              <w:pStyle w:val="aa"/>
              <w:numPr>
                <w:ilvl w:val="0"/>
                <w:numId w:val="12"/>
              </w:numPr>
              <w:wordWrap w:val="0"/>
              <w:spacing w:line="380" w:lineRule="exact"/>
              <w:ind w:leftChars="0" w:firstLineChars="0"/>
              <w:jc w:val="both"/>
              <w:rPr>
                <w:rFonts w:ascii="標楷體" w:hAnsi="標楷體"/>
                <w:color w:val="auto"/>
                <w:sz w:val="28"/>
                <w:szCs w:val="28"/>
                <w:u w:val="none"/>
              </w:rPr>
            </w:pPr>
            <w:r w:rsidRPr="00303E49">
              <w:rPr>
                <w:rFonts w:ascii="標楷體" w:hAnsi="標楷體" w:hint="eastAsia"/>
                <w:color w:val="auto"/>
                <w:sz w:val="28"/>
                <w:szCs w:val="28"/>
                <w:u w:val="none"/>
              </w:rPr>
              <w:t>金管會106年12月12日金管銀國字第10600226490號函說明三之(一)函示，依106年11月20日立法院第9屆第4會期財政委員會第14次全體委員會議臨時提案決議政府宣布之重大工程且聯貸金額50億元以上者，應採三方合約。</w:t>
            </w:r>
          </w:p>
          <w:p w:rsidR="002F621D" w:rsidRPr="00303E49" w:rsidRDefault="002F621D" w:rsidP="002F621D">
            <w:pPr>
              <w:pStyle w:val="aa"/>
              <w:numPr>
                <w:ilvl w:val="0"/>
                <w:numId w:val="12"/>
              </w:numPr>
              <w:wordWrap w:val="0"/>
              <w:spacing w:line="380" w:lineRule="exact"/>
              <w:ind w:leftChars="0" w:firstLineChars="0"/>
              <w:jc w:val="both"/>
              <w:rPr>
                <w:rFonts w:ascii="標楷體" w:hAnsi="標楷體"/>
                <w:color w:val="auto"/>
                <w:sz w:val="28"/>
                <w:szCs w:val="28"/>
                <w:u w:val="none"/>
              </w:rPr>
            </w:pPr>
            <w:r w:rsidRPr="00303E49">
              <w:rPr>
                <w:rFonts w:ascii="標楷體" w:hAnsi="標楷體" w:hint="eastAsia"/>
                <w:color w:val="auto"/>
                <w:sz w:val="28"/>
                <w:szCs w:val="28"/>
                <w:u w:val="none"/>
              </w:rPr>
              <w:t>嗣工程會為利政府重大採購案順利進行，協助廠商融資調度，建立廠商、機關及銀行間資訊互通及照會機制，以107年6月29</w:t>
            </w:r>
            <w:r w:rsidRPr="00303E49">
              <w:rPr>
                <w:rFonts w:ascii="標楷體" w:hAnsi="標楷體" w:hint="eastAsia"/>
                <w:color w:val="auto"/>
                <w:spacing w:val="-20"/>
                <w:sz w:val="28"/>
                <w:szCs w:val="28"/>
                <w:u w:val="none"/>
              </w:rPr>
              <w:t>日工程企字</w:t>
            </w:r>
            <w:r w:rsidRPr="00303E49">
              <w:rPr>
                <w:rFonts w:ascii="標楷體" w:hAnsi="標楷體" w:hint="eastAsia"/>
                <w:color w:val="auto"/>
                <w:sz w:val="28"/>
                <w:szCs w:val="28"/>
                <w:u w:val="none"/>
              </w:rPr>
              <w:t>第</w:t>
            </w:r>
            <w:r w:rsidRPr="00303E49">
              <w:rPr>
                <w:rFonts w:ascii="標楷體" w:hAnsi="標楷體" w:hint="eastAsia"/>
                <w:color w:val="auto"/>
                <w:spacing w:val="-20"/>
                <w:sz w:val="28"/>
                <w:szCs w:val="28"/>
                <w:u w:val="none"/>
              </w:rPr>
              <w:t>10700199980</w:t>
            </w:r>
            <w:r w:rsidRPr="00303E49">
              <w:rPr>
                <w:rFonts w:ascii="標楷體" w:hAnsi="標楷體" w:hint="eastAsia"/>
                <w:color w:val="auto"/>
                <w:sz w:val="28"/>
                <w:szCs w:val="28"/>
                <w:u w:val="none"/>
              </w:rPr>
              <w:t>號函發布「重大政府採</w:t>
            </w:r>
            <w:r w:rsidRPr="00303E49">
              <w:rPr>
                <w:rFonts w:ascii="標楷體" w:hAnsi="標楷體" w:hint="eastAsia"/>
                <w:color w:val="auto"/>
                <w:sz w:val="28"/>
                <w:szCs w:val="28"/>
                <w:u w:val="none"/>
              </w:rPr>
              <w:lastRenderedPageBreak/>
              <w:t>購得標廠商與銀行及採購機關三方協議書(範本)」。</w:t>
            </w:r>
          </w:p>
          <w:p w:rsidR="002F621D" w:rsidRDefault="002F621D" w:rsidP="002F621D">
            <w:pPr>
              <w:pStyle w:val="aa"/>
              <w:numPr>
                <w:ilvl w:val="0"/>
                <w:numId w:val="12"/>
              </w:numPr>
              <w:wordWrap w:val="0"/>
              <w:spacing w:line="380" w:lineRule="exact"/>
              <w:ind w:leftChars="0" w:firstLineChars="0"/>
              <w:jc w:val="both"/>
              <w:rPr>
                <w:rFonts w:ascii="標楷體" w:hAnsi="標楷體"/>
                <w:color w:val="auto"/>
                <w:sz w:val="28"/>
                <w:szCs w:val="28"/>
                <w:u w:val="none"/>
              </w:rPr>
            </w:pPr>
            <w:r w:rsidRPr="00303E49">
              <w:rPr>
                <w:rFonts w:ascii="標楷體" w:hAnsi="標楷體" w:hint="eastAsia"/>
                <w:color w:val="auto"/>
                <w:sz w:val="28"/>
                <w:szCs w:val="28"/>
                <w:u w:val="none"/>
              </w:rPr>
              <w:t>爰</w:t>
            </w:r>
            <w:r>
              <w:rPr>
                <w:rFonts w:ascii="標楷體" w:hAnsi="標楷體" w:hint="eastAsia"/>
                <w:color w:val="auto"/>
                <w:sz w:val="28"/>
                <w:szCs w:val="28"/>
                <w:u w:val="none"/>
              </w:rPr>
              <w:t>遵照</w:t>
            </w:r>
            <w:r w:rsidRPr="00303E49">
              <w:rPr>
                <w:rFonts w:ascii="標楷體" w:hAnsi="標楷體" w:hint="eastAsia"/>
                <w:color w:val="auto"/>
                <w:sz w:val="28"/>
                <w:szCs w:val="28"/>
                <w:u w:val="none"/>
              </w:rPr>
              <w:t>上開</w:t>
            </w:r>
            <w:r>
              <w:rPr>
                <w:rFonts w:ascii="標楷體" w:hAnsi="標楷體" w:hint="eastAsia"/>
                <w:color w:val="auto"/>
                <w:sz w:val="28"/>
                <w:szCs w:val="28"/>
                <w:u w:val="none"/>
              </w:rPr>
              <w:t>金管會、</w:t>
            </w:r>
            <w:r w:rsidRPr="00303E49">
              <w:rPr>
                <w:rFonts w:ascii="標楷體" w:hAnsi="標楷體" w:hint="eastAsia"/>
                <w:color w:val="auto"/>
                <w:sz w:val="28"/>
                <w:szCs w:val="28"/>
                <w:u w:val="none"/>
              </w:rPr>
              <w:t>工程會函</w:t>
            </w:r>
            <w:r>
              <w:rPr>
                <w:rFonts w:ascii="標楷體" w:hAnsi="標楷體" w:hint="eastAsia"/>
                <w:color w:val="auto"/>
                <w:sz w:val="28"/>
                <w:szCs w:val="28"/>
                <w:u w:val="none"/>
              </w:rPr>
              <w:t>示</w:t>
            </w:r>
            <w:r w:rsidRPr="00303E49">
              <w:rPr>
                <w:rFonts w:ascii="標楷體" w:hAnsi="標楷體" w:hint="eastAsia"/>
                <w:color w:val="auto"/>
                <w:sz w:val="28"/>
                <w:szCs w:val="28"/>
                <w:u w:val="none"/>
              </w:rPr>
              <w:t>及</w:t>
            </w:r>
            <w:r>
              <w:rPr>
                <w:rFonts w:ascii="標楷體" w:hAnsi="標楷體" w:hint="eastAsia"/>
                <w:color w:val="auto"/>
                <w:sz w:val="28"/>
                <w:szCs w:val="28"/>
                <w:u w:val="none"/>
              </w:rPr>
              <w:t>三方</w:t>
            </w:r>
            <w:r w:rsidRPr="00303E49">
              <w:rPr>
                <w:rFonts w:ascii="標楷體" w:hAnsi="標楷體" w:hint="eastAsia"/>
                <w:color w:val="auto"/>
                <w:sz w:val="28"/>
                <w:szCs w:val="28"/>
                <w:u w:val="none"/>
              </w:rPr>
              <w:t>協議書內容，據以增訂本條</w:t>
            </w:r>
            <w:r w:rsidR="00216833">
              <w:rPr>
                <w:rFonts w:ascii="標楷體" w:hAnsi="標楷體" w:hint="eastAsia"/>
                <w:color w:val="auto"/>
                <w:sz w:val="28"/>
                <w:szCs w:val="28"/>
                <w:u w:val="none"/>
              </w:rPr>
              <w:t>第1項</w:t>
            </w:r>
            <w:r w:rsidRPr="00303E49">
              <w:rPr>
                <w:rFonts w:ascii="標楷體" w:hAnsi="標楷體" w:hint="eastAsia"/>
                <w:color w:val="auto"/>
                <w:sz w:val="28"/>
                <w:szCs w:val="28"/>
                <w:u w:val="none"/>
              </w:rPr>
              <w:t>規定，用以確認借款人履約情形及避免借款人將借款資金流用於非屬採購案計畫之用途。</w:t>
            </w:r>
          </w:p>
          <w:p w:rsidR="00AE1D18" w:rsidRPr="00303E49" w:rsidRDefault="00216833" w:rsidP="00216833">
            <w:pPr>
              <w:pStyle w:val="aa"/>
              <w:numPr>
                <w:ilvl w:val="0"/>
                <w:numId w:val="12"/>
              </w:numPr>
              <w:wordWrap w:val="0"/>
              <w:spacing w:line="380" w:lineRule="exact"/>
              <w:ind w:leftChars="0" w:firstLineChars="0"/>
              <w:jc w:val="both"/>
              <w:rPr>
                <w:rFonts w:ascii="標楷體" w:hAnsi="標楷體"/>
                <w:color w:val="auto"/>
                <w:sz w:val="28"/>
                <w:szCs w:val="28"/>
                <w:u w:val="none"/>
              </w:rPr>
            </w:pPr>
            <w:r>
              <w:rPr>
                <w:rFonts w:ascii="標楷體" w:hAnsi="標楷體" w:hint="eastAsia"/>
                <w:color w:val="auto"/>
                <w:sz w:val="28"/>
                <w:szCs w:val="28"/>
                <w:u w:val="none"/>
              </w:rPr>
              <w:t>另依</w:t>
            </w:r>
            <w:r w:rsidR="00AE1D18">
              <w:rPr>
                <w:rFonts w:ascii="標楷體" w:hAnsi="標楷體" w:hint="eastAsia"/>
                <w:color w:val="auto"/>
                <w:sz w:val="28"/>
                <w:szCs w:val="28"/>
                <w:u w:val="none"/>
              </w:rPr>
              <w:t>工程會上開函文說明三意旨，增訂本條第2項</w:t>
            </w:r>
            <w:r w:rsidR="00322A28">
              <w:rPr>
                <w:rFonts w:ascii="標楷體" w:hAnsi="標楷體" w:hint="eastAsia"/>
                <w:color w:val="auto"/>
                <w:sz w:val="28"/>
                <w:szCs w:val="28"/>
                <w:u w:val="none"/>
              </w:rPr>
              <w:t>規定</w:t>
            </w:r>
            <w:r w:rsidR="00AE1D18">
              <w:rPr>
                <w:rFonts w:ascii="標楷體" w:hAnsi="標楷體" w:hint="eastAsia"/>
                <w:color w:val="auto"/>
                <w:sz w:val="28"/>
                <w:szCs w:val="28"/>
                <w:u w:val="none"/>
              </w:rPr>
              <w:t>，以符</w:t>
            </w:r>
            <w:r w:rsidR="00AE1D18" w:rsidRPr="00AE1D18">
              <w:rPr>
                <w:rFonts w:ascii="標楷體" w:hAnsi="標楷體" w:hint="eastAsia"/>
                <w:bCs/>
                <w:color w:val="auto"/>
                <w:sz w:val="28"/>
                <w:szCs w:val="28"/>
                <w:u w:val="none"/>
              </w:rPr>
              <w:t>三方協議書內容</w:t>
            </w:r>
            <w:r>
              <w:rPr>
                <w:rFonts w:ascii="標楷體" w:hAnsi="標楷體" w:hint="eastAsia"/>
                <w:bCs/>
                <w:color w:val="auto"/>
                <w:sz w:val="28"/>
                <w:szCs w:val="28"/>
                <w:u w:val="none"/>
              </w:rPr>
              <w:t>得</w:t>
            </w:r>
            <w:r w:rsidR="00AE1D18" w:rsidRPr="00AE1D18">
              <w:rPr>
                <w:rFonts w:ascii="標楷體" w:hAnsi="標楷體" w:hint="eastAsia"/>
                <w:bCs/>
                <w:color w:val="auto"/>
                <w:sz w:val="28"/>
                <w:szCs w:val="28"/>
                <w:u w:val="none"/>
              </w:rPr>
              <w:t>經會員與採購機關、借款人三方合</w:t>
            </w:r>
            <w:r>
              <w:rPr>
                <w:rFonts w:ascii="標楷體" w:hAnsi="標楷體" w:hint="eastAsia"/>
                <w:bCs/>
                <w:color w:val="auto"/>
                <w:sz w:val="28"/>
                <w:szCs w:val="28"/>
                <w:u w:val="none"/>
              </w:rPr>
              <w:t>意</w:t>
            </w:r>
            <w:r w:rsidR="00AE1D18" w:rsidRPr="00AE1D18">
              <w:rPr>
                <w:rFonts w:ascii="標楷體" w:hAnsi="標楷體" w:hint="eastAsia"/>
                <w:bCs/>
                <w:color w:val="auto"/>
                <w:sz w:val="28"/>
                <w:szCs w:val="28"/>
                <w:u w:val="none"/>
              </w:rPr>
              <w:t>後簽訂之規定。</w:t>
            </w:r>
          </w:p>
        </w:tc>
      </w:tr>
      <w:tr w:rsidR="00626831" w:rsidRPr="00303E49" w:rsidTr="007F0A23">
        <w:tc>
          <w:tcPr>
            <w:tcW w:w="1759" w:type="pct"/>
          </w:tcPr>
          <w:p w:rsidR="00626831" w:rsidRDefault="00626831" w:rsidP="00626831">
            <w:pPr>
              <w:pStyle w:val="aa"/>
              <w:spacing w:line="380" w:lineRule="exact"/>
              <w:ind w:leftChars="0" w:left="599" w:hangingChars="214" w:hanging="599"/>
              <w:jc w:val="both"/>
              <w:rPr>
                <w:rFonts w:ascii="標楷體" w:hAnsi="標楷體"/>
                <w:sz w:val="28"/>
                <w:szCs w:val="28"/>
                <w:u w:val="none"/>
              </w:rPr>
            </w:pPr>
            <w:r>
              <w:rPr>
                <w:rFonts w:ascii="標楷體" w:hAnsi="標楷體" w:hint="eastAsia"/>
                <w:sz w:val="28"/>
                <w:szCs w:val="28"/>
                <w:u w:val="none"/>
              </w:rPr>
              <w:lastRenderedPageBreak/>
              <w:t>第30條</w:t>
            </w:r>
          </w:p>
          <w:p w:rsidR="00626831" w:rsidRPr="00985578" w:rsidRDefault="00626831" w:rsidP="00626831">
            <w:pPr>
              <w:pStyle w:val="aa"/>
              <w:spacing w:line="380" w:lineRule="exact"/>
              <w:ind w:leftChars="14" w:left="34" w:firstLineChars="0" w:firstLine="2"/>
              <w:jc w:val="both"/>
              <w:rPr>
                <w:rFonts w:ascii="標楷體" w:hAnsi="標楷體"/>
                <w:sz w:val="28"/>
                <w:szCs w:val="28"/>
                <w:u w:val="none"/>
              </w:rPr>
            </w:pPr>
            <w:r w:rsidRPr="00985578">
              <w:rPr>
                <w:rFonts w:ascii="標楷體" w:hAnsi="標楷體" w:hint="eastAsia"/>
                <w:sz w:val="28"/>
                <w:szCs w:val="28"/>
                <w:u w:val="none"/>
              </w:rPr>
              <w:t>會員應於授信案件貸放後辦理覆審及追蹤考核工作，其重點在瞭解授信戶能否按照原訂貸款計畫妥善運用，切實履行契約規定及其他約定事項，重要授信個案如有實際需要，應辦理實地覆審。其相關管理規定由會員依有關法規自行訂定。</w:t>
            </w:r>
          </w:p>
          <w:p w:rsidR="00626831" w:rsidRDefault="00626831" w:rsidP="00626831">
            <w:pPr>
              <w:pStyle w:val="aa"/>
              <w:spacing w:line="380" w:lineRule="exact"/>
              <w:ind w:leftChars="14" w:left="34" w:firstLineChars="0" w:firstLine="2"/>
              <w:jc w:val="both"/>
              <w:rPr>
                <w:rFonts w:ascii="標楷體" w:hAnsi="標楷體"/>
                <w:sz w:val="28"/>
                <w:szCs w:val="28"/>
                <w:u w:val="none"/>
              </w:rPr>
            </w:pPr>
            <w:r w:rsidRPr="00985578">
              <w:rPr>
                <w:rFonts w:ascii="標楷體" w:hAnsi="標楷體" w:hint="eastAsia"/>
                <w:sz w:val="28"/>
                <w:szCs w:val="28"/>
                <w:u w:val="none"/>
              </w:rPr>
              <w:t>會員應於無追索權應收帳款承購後辦理覆審及追踨</w:t>
            </w:r>
            <w:r w:rsidRPr="00985578">
              <w:rPr>
                <w:rFonts w:ascii="標楷體" w:hAnsi="標楷體" w:hint="eastAsia"/>
                <w:sz w:val="28"/>
                <w:szCs w:val="28"/>
                <w:u w:val="none"/>
              </w:rPr>
              <w:lastRenderedPageBreak/>
              <w:t>考核工作，其相關規定由會員自行訂定。</w:t>
            </w:r>
          </w:p>
          <w:p w:rsidR="00626831" w:rsidRPr="00801627" w:rsidRDefault="00626831" w:rsidP="00626831">
            <w:pPr>
              <w:pStyle w:val="aa"/>
              <w:spacing w:before="100" w:line="380" w:lineRule="exact"/>
              <w:ind w:leftChars="14" w:left="34" w:firstLineChars="0" w:firstLine="0"/>
              <w:jc w:val="both"/>
              <w:rPr>
                <w:rFonts w:asciiTheme="minorEastAsia" w:hAnsiTheme="minorEastAsia"/>
                <w:b/>
                <w:color w:val="auto"/>
                <w:sz w:val="28"/>
                <w:szCs w:val="28"/>
              </w:rPr>
            </w:pPr>
            <w:r w:rsidRPr="00801627">
              <w:rPr>
                <w:rFonts w:asciiTheme="minorEastAsia" w:hAnsiTheme="minorEastAsia" w:hint="eastAsia"/>
                <w:b/>
                <w:color w:val="auto"/>
                <w:sz w:val="28"/>
                <w:szCs w:val="28"/>
              </w:rPr>
              <w:t>會員辦理聯貸案之貸後覆審，主辦行或管理行應依聯貸合約約定按時提供授信戶貸後管理相關資料予參貸行，參貸行應依其內部貸後管理相關規定，自行辦理貸後覆審作業及追蹤考核工作，並視個案實際需要，洽請主辦行或管理行協助</w:t>
            </w:r>
            <w:r w:rsidRPr="00801627">
              <w:rPr>
                <w:rFonts w:ascii="標楷體" w:hAnsi="標楷體" w:hint="eastAsia"/>
                <w:b/>
                <w:bCs/>
                <w:color w:val="auto"/>
                <w:sz w:val="28"/>
                <w:szCs w:val="28"/>
              </w:rPr>
              <w:t>查詢聯貸案管理情形、調閱案件最新相關資料或</w:t>
            </w:r>
            <w:r w:rsidRPr="00801627">
              <w:rPr>
                <w:rFonts w:asciiTheme="minorEastAsia" w:hAnsiTheme="minorEastAsia" w:hint="eastAsia"/>
                <w:b/>
                <w:color w:val="auto"/>
                <w:sz w:val="28"/>
                <w:szCs w:val="28"/>
              </w:rPr>
              <w:t>辦理實地覆審。</w:t>
            </w:r>
          </w:p>
          <w:p w:rsidR="00626831" w:rsidRPr="00985578" w:rsidRDefault="00626831" w:rsidP="00626831">
            <w:pPr>
              <w:pStyle w:val="aa"/>
              <w:spacing w:before="100" w:line="380" w:lineRule="exact"/>
              <w:ind w:leftChars="14" w:left="34" w:firstLineChars="0" w:firstLine="0"/>
              <w:jc w:val="both"/>
              <w:rPr>
                <w:rFonts w:asciiTheme="minorEastAsia" w:hAnsiTheme="minorEastAsia"/>
                <w:color w:val="1F497D" w:themeColor="dark2"/>
              </w:rPr>
            </w:pPr>
            <w:r w:rsidRPr="00985578">
              <w:rPr>
                <w:rFonts w:ascii="標楷體" w:hAnsi="標楷體" w:hint="eastAsia"/>
                <w:sz w:val="28"/>
                <w:szCs w:val="28"/>
                <w:u w:val="none"/>
              </w:rPr>
              <w:t>辦理授信覆審，其覆審人員不得覆審本身經辦之授信案件，每一授信案件經辦理覆審後，應編製覆審報告。</w:t>
            </w:r>
          </w:p>
        </w:tc>
        <w:tc>
          <w:tcPr>
            <w:tcW w:w="1759" w:type="pct"/>
          </w:tcPr>
          <w:p w:rsidR="00626831" w:rsidRDefault="00626831" w:rsidP="00626831">
            <w:pPr>
              <w:pStyle w:val="aa"/>
              <w:spacing w:line="380" w:lineRule="exact"/>
              <w:ind w:leftChars="0" w:left="599" w:hangingChars="214" w:hanging="599"/>
              <w:jc w:val="both"/>
              <w:rPr>
                <w:rFonts w:ascii="標楷體" w:hAnsi="標楷體"/>
                <w:sz w:val="28"/>
                <w:szCs w:val="28"/>
                <w:u w:val="none"/>
              </w:rPr>
            </w:pPr>
            <w:r>
              <w:rPr>
                <w:rFonts w:ascii="標楷體" w:hAnsi="標楷體" w:hint="eastAsia"/>
                <w:sz w:val="28"/>
                <w:szCs w:val="28"/>
                <w:u w:val="none"/>
              </w:rPr>
              <w:lastRenderedPageBreak/>
              <w:t>第30條</w:t>
            </w:r>
          </w:p>
          <w:p w:rsidR="00626831" w:rsidRPr="00985578" w:rsidRDefault="00626831" w:rsidP="00626831">
            <w:pPr>
              <w:pStyle w:val="aa"/>
              <w:spacing w:line="380" w:lineRule="exact"/>
              <w:ind w:leftChars="14" w:left="34" w:firstLineChars="0" w:firstLine="2"/>
              <w:jc w:val="both"/>
              <w:rPr>
                <w:rFonts w:ascii="標楷體" w:hAnsi="標楷體"/>
                <w:sz w:val="28"/>
                <w:szCs w:val="28"/>
                <w:u w:val="none"/>
              </w:rPr>
            </w:pPr>
            <w:r w:rsidRPr="00985578">
              <w:rPr>
                <w:rFonts w:ascii="標楷體" w:hAnsi="標楷體" w:hint="eastAsia"/>
                <w:sz w:val="28"/>
                <w:szCs w:val="28"/>
                <w:u w:val="none"/>
              </w:rPr>
              <w:t>會員應於授信案件貸放後辦理覆審及追蹤考核工作，其重點在瞭解授信戶能否按照原訂貸款計畫妥善運用，切實履行契約規定及其他約定事項，重要授信個案如有實際需要，應辦理實地覆審。其相關管理規定由會員依有關法規自行訂定。</w:t>
            </w:r>
          </w:p>
          <w:p w:rsidR="00626831" w:rsidRPr="00985578" w:rsidRDefault="00626831" w:rsidP="00626831">
            <w:pPr>
              <w:pStyle w:val="aa"/>
              <w:spacing w:line="380" w:lineRule="exact"/>
              <w:ind w:leftChars="14" w:left="34" w:firstLineChars="0" w:firstLine="2"/>
              <w:jc w:val="both"/>
              <w:rPr>
                <w:rFonts w:ascii="標楷體" w:hAnsi="標楷體"/>
                <w:sz w:val="28"/>
                <w:szCs w:val="28"/>
                <w:u w:val="none"/>
              </w:rPr>
            </w:pPr>
            <w:r w:rsidRPr="00985578">
              <w:rPr>
                <w:rFonts w:ascii="標楷體" w:hAnsi="標楷體" w:hint="eastAsia"/>
                <w:sz w:val="28"/>
                <w:szCs w:val="28"/>
                <w:u w:val="none"/>
              </w:rPr>
              <w:t>會員應於無追索權應收帳款承購後辦理覆審及追踨</w:t>
            </w:r>
            <w:r w:rsidRPr="00985578">
              <w:rPr>
                <w:rFonts w:ascii="標楷體" w:hAnsi="標楷體" w:hint="eastAsia"/>
                <w:sz w:val="28"/>
                <w:szCs w:val="28"/>
                <w:u w:val="none"/>
              </w:rPr>
              <w:lastRenderedPageBreak/>
              <w:t>考核工作，其相關規定由會員自行訂定。</w:t>
            </w:r>
          </w:p>
          <w:p w:rsidR="00626831" w:rsidRDefault="00626831" w:rsidP="00626831">
            <w:pPr>
              <w:pStyle w:val="aa"/>
              <w:spacing w:line="380" w:lineRule="exact"/>
              <w:ind w:leftChars="0" w:left="1" w:firstLineChars="0" w:firstLine="0"/>
              <w:jc w:val="both"/>
              <w:rPr>
                <w:rFonts w:ascii="標楷體" w:hAnsi="標楷體"/>
                <w:sz w:val="28"/>
                <w:szCs w:val="28"/>
                <w:u w:val="none"/>
              </w:rPr>
            </w:pPr>
            <w:r w:rsidRPr="00985578">
              <w:rPr>
                <w:rFonts w:ascii="標楷體" w:hAnsi="標楷體" w:hint="eastAsia"/>
                <w:sz w:val="28"/>
                <w:szCs w:val="28"/>
                <w:u w:val="none"/>
              </w:rPr>
              <w:t>辦理授信覆審，其覆審人員不得覆審本身經辦之授信案件，每一授信案件經辦理覆審後，應編製覆審報告。</w:t>
            </w:r>
          </w:p>
          <w:p w:rsidR="00626831" w:rsidRPr="00985578" w:rsidRDefault="00626831" w:rsidP="00626831">
            <w:pPr>
              <w:pStyle w:val="aa"/>
              <w:spacing w:line="380" w:lineRule="exact"/>
              <w:ind w:leftChars="0" w:left="1" w:firstLineChars="0" w:firstLine="0"/>
              <w:jc w:val="both"/>
              <w:rPr>
                <w:rFonts w:ascii="標楷體" w:hAnsi="標楷體"/>
                <w:sz w:val="28"/>
                <w:szCs w:val="28"/>
                <w:u w:val="none"/>
              </w:rPr>
            </w:pPr>
          </w:p>
        </w:tc>
        <w:tc>
          <w:tcPr>
            <w:tcW w:w="1482" w:type="pct"/>
          </w:tcPr>
          <w:p w:rsidR="00626831" w:rsidRPr="00303E49" w:rsidRDefault="00CE58F2" w:rsidP="00626831">
            <w:pPr>
              <w:pStyle w:val="aa"/>
              <w:wordWrap w:val="0"/>
              <w:spacing w:line="380" w:lineRule="exact"/>
              <w:ind w:leftChars="0" w:left="0" w:firstLineChars="0" w:firstLine="0"/>
              <w:jc w:val="both"/>
              <w:rPr>
                <w:rFonts w:ascii="標楷體" w:hAnsi="標楷體"/>
                <w:color w:val="auto"/>
                <w:sz w:val="28"/>
                <w:szCs w:val="28"/>
                <w:u w:val="none"/>
              </w:rPr>
            </w:pPr>
            <w:r w:rsidRPr="00CE58F2">
              <w:rPr>
                <w:rFonts w:ascii="標楷體" w:hAnsi="標楷體" w:hint="eastAsia"/>
                <w:color w:val="auto"/>
                <w:sz w:val="28"/>
                <w:szCs w:val="28"/>
                <w:u w:val="none"/>
              </w:rPr>
              <w:lastRenderedPageBreak/>
              <w:t>依據金管會107年1月23日金管銀控字第10702700130號函規定，增訂銀行辦理聯貸案之貸後覆審相關自律規範</w:t>
            </w:r>
            <w:r w:rsidR="00642553">
              <w:rPr>
                <w:rFonts w:ascii="標楷體" w:hAnsi="標楷體" w:hint="eastAsia"/>
                <w:color w:val="auto"/>
                <w:sz w:val="28"/>
                <w:szCs w:val="28"/>
                <w:u w:val="none"/>
              </w:rPr>
              <w:t>。</w:t>
            </w:r>
          </w:p>
        </w:tc>
      </w:tr>
    </w:tbl>
    <w:p w:rsidR="003F2CBB" w:rsidRPr="00303E49" w:rsidRDefault="003F2CBB" w:rsidP="00C22A4E">
      <w:pPr>
        <w:pStyle w:val="a3"/>
        <w:spacing w:line="460" w:lineRule="exact"/>
        <w:rPr>
          <w:rFonts w:ascii="標楷體" w:eastAsia="標楷體"/>
          <w:sz w:val="28"/>
          <w:szCs w:val="28"/>
        </w:rPr>
      </w:pPr>
    </w:p>
    <w:sectPr w:rsidR="003F2CBB" w:rsidRPr="00303E49" w:rsidSect="00E356BD">
      <w:footerReference w:type="even" r:id="rId8"/>
      <w:footerReference w:type="default" r:id="rId9"/>
      <w:pgSz w:w="11906" w:h="16838" w:code="9"/>
      <w:pgMar w:top="1418" w:right="1134" w:bottom="1418" w:left="1134" w:header="851" w:footer="851" w:gutter="0"/>
      <w:pgNumType w:start="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53" w:rsidRDefault="00F70053">
      <w:r>
        <w:separator/>
      </w:r>
    </w:p>
  </w:endnote>
  <w:endnote w:type="continuationSeparator" w:id="0">
    <w:p w:rsidR="00F70053" w:rsidRDefault="00F70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080" w:rsidRDefault="00907FEE">
    <w:pPr>
      <w:pStyle w:val="a5"/>
      <w:framePr w:w="1440" w:hSpace="737" w:wrap="around" w:vAnchor="text" w:hAnchor="margin" w:xAlign="right" w:y="1"/>
      <w:textDirection w:val="btLr"/>
      <w:rPr>
        <w:rStyle w:val="a7"/>
      </w:rPr>
    </w:pPr>
    <w:r>
      <w:rPr>
        <w:rStyle w:val="a7"/>
      </w:rPr>
      <w:fldChar w:fldCharType="begin"/>
    </w:r>
    <w:r w:rsidR="00FD7080">
      <w:rPr>
        <w:rStyle w:val="a7"/>
      </w:rPr>
      <w:instrText xml:space="preserve">PAGE  </w:instrText>
    </w:r>
    <w:r>
      <w:rPr>
        <w:rStyle w:val="a7"/>
      </w:rPr>
      <w:fldChar w:fldCharType="end"/>
    </w:r>
  </w:p>
  <w:p w:rsidR="00FD7080" w:rsidRDefault="00FD708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09137"/>
      <w:docPartObj>
        <w:docPartGallery w:val="Page Numbers (Bottom of Page)"/>
        <w:docPartUnique/>
      </w:docPartObj>
    </w:sdtPr>
    <w:sdtContent>
      <w:p w:rsidR="00C33417" w:rsidRDefault="00907FEE">
        <w:pPr>
          <w:pStyle w:val="a5"/>
          <w:jc w:val="center"/>
        </w:pPr>
        <w:fldSimple w:instr=" PAGE   \* MERGEFORMAT ">
          <w:r w:rsidR="003D40A1" w:rsidRPr="003D40A1">
            <w:rPr>
              <w:noProof/>
              <w:lang w:val="zh-TW"/>
            </w:rPr>
            <w:t>9</w:t>
          </w:r>
        </w:fldSimple>
      </w:p>
    </w:sdtContent>
  </w:sdt>
  <w:p w:rsidR="00FD7080" w:rsidRDefault="00FD7080">
    <w:pPr>
      <w:pStyle w:val="a5"/>
      <w:ind w:right="360" w:firstLine="1248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53" w:rsidRDefault="00F70053">
      <w:r>
        <w:separator/>
      </w:r>
    </w:p>
  </w:footnote>
  <w:footnote w:type="continuationSeparator" w:id="0">
    <w:p w:rsidR="00F70053" w:rsidRDefault="00F70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620B"/>
    <w:multiLevelType w:val="hybridMultilevel"/>
    <w:tmpl w:val="C4D49764"/>
    <w:lvl w:ilvl="0" w:tplc="9D508DF8">
      <w:start w:val="5"/>
      <w:numFmt w:val="taiwaneseCountingThousand"/>
      <w:lvlText w:val="第%1條"/>
      <w:lvlJc w:val="left"/>
      <w:pPr>
        <w:tabs>
          <w:tab w:val="num" w:pos="720"/>
        </w:tabs>
        <w:ind w:left="720" w:hanging="720"/>
      </w:pPr>
      <w:rPr>
        <w:rFonts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6114517"/>
    <w:multiLevelType w:val="hybridMultilevel"/>
    <w:tmpl w:val="02445DF2"/>
    <w:lvl w:ilvl="0" w:tplc="65388B0C">
      <w:start w:val="1"/>
      <w:numFmt w:val="taiwaneseCountingThousand"/>
      <w:suff w:val="nothing"/>
      <w:lvlText w:val="(%1)"/>
      <w:lvlJc w:val="left"/>
      <w:pPr>
        <w:ind w:left="567" w:hanging="56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AC20BC"/>
    <w:multiLevelType w:val="hybridMultilevel"/>
    <w:tmpl w:val="754C55EE"/>
    <w:lvl w:ilvl="0" w:tplc="1C10DD94">
      <w:start w:val="1"/>
      <w:numFmt w:val="decimal"/>
      <w:suff w:val="nothing"/>
      <w:lvlText w:val="%1."/>
      <w:lvlJc w:val="left"/>
      <w:pPr>
        <w:ind w:left="1047" w:hanging="480"/>
      </w:pPr>
      <w:rPr>
        <w:rFonts w:hint="eastAsia"/>
        <w:u w:val="singl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1C935DE5"/>
    <w:multiLevelType w:val="hybridMultilevel"/>
    <w:tmpl w:val="83002920"/>
    <w:lvl w:ilvl="0" w:tplc="008408F8">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41C76AC"/>
    <w:multiLevelType w:val="hybridMultilevel"/>
    <w:tmpl w:val="A47A7778"/>
    <w:lvl w:ilvl="0" w:tplc="1C88D4F8">
      <w:start w:val="5"/>
      <w:numFmt w:val="taiwaneseCountingThousand"/>
      <w:lvlText w:val="第%1條"/>
      <w:lvlJc w:val="left"/>
      <w:pPr>
        <w:tabs>
          <w:tab w:val="num" w:pos="720"/>
        </w:tabs>
        <w:ind w:left="720" w:hanging="720"/>
      </w:pPr>
      <w:rPr>
        <w:rFonts w:ascii="細明體"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90D7336"/>
    <w:multiLevelType w:val="hybridMultilevel"/>
    <w:tmpl w:val="FFE2212C"/>
    <w:lvl w:ilvl="0" w:tplc="D506F1A8">
      <w:start w:val="1"/>
      <w:numFmt w:val="taiwaneseCountingThousand"/>
      <w:suff w:val="nothing"/>
      <w:lvlText w:val="(%1)"/>
      <w:lvlJc w:val="left"/>
      <w:pPr>
        <w:ind w:left="567" w:hanging="567"/>
      </w:pPr>
      <w:rPr>
        <w:rFonts w:hint="default"/>
        <w:color w:val="auto"/>
      </w:rPr>
    </w:lvl>
    <w:lvl w:ilvl="1" w:tplc="EEE2FFC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AD38B7"/>
    <w:multiLevelType w:val="hybridMultilevel"/>
    <w:tmpl w:val="2C02C2E8"/>
    <w:lvl w:ilvl="0" w:tplc="2A66062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EBB77C3"/>
    <w:multiLevelType w:val="hybridMultilevel"/>
    <w:tmpl w:val="7294F084"/>
    <w:lvl w:ilvl="0" w:tplc="826AAEF0">
      <w:start w:val="6"/>
      <w:numFmt w:val="taiwaneseCountingThousand"/>
      <w:suff w:val="nothing"/>
      <w:lvlText w:val="(%1)"/>
      <w:lvlJc w:val="left"/>
      <w:pPr>
        <w:ind w:left="567" w:hanging="56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B129AE"/>
    <w:multiLevelType w:val="hybridMultilevel"/>
    <w:tmpl w:val="3936478A"/>
    <w:lvl w:ilvl="0" w:tplc="40B029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9B579C4"/>
    <w:multiLevelType w:val="hybridMultilevel"/>
    <w:tmpl w:val="3506B32C"/>
    <w:lvl w:ilvl="0" w:tplc="9EBCFD5C">
      <w:start w:val="1"/>
      <w:numFmt w:val="taiwaneseCountingThousand"/>
      <w:suff w:val="nothing"/>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9C37973"/>
    <w:multiLevelType w:val="hybridMultilevel"/>
    <w:tmpl w:val="574A3F44"/>
    <w:lvl w:ilvl="0" w:tplc="80687736">
      <w:start w:val="1"/>
      <w:numFmt w:val="taiwaneseCountingThousand"/>
      <w:suff w:val="nothing"/>
      <w:lvlText w:val="%1、"/>
      <w:lvlJc w:val="left"/>
      <w:pPr>
        <w:ind w:left="567" w:hanging="567"/>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AA26CAA"/>
    <w:multiLevelType w:val="hybridMultilevel"/>
    <w:tmpl w:val="02445DF2"/>
    <w:lvl w:ilvl="0" w:tplc="65388B0C">
      <w:start w:val="1"/>
      <w:numFmt w:val="taiwaneseCountingThousand"/>
      <w:suff w:val="nothing"/>
      <w:lvlText w:val="(%1)"/>
      <w:lvlJc w:val="left"/>
      <w:pPr>
        <w:ind w:left="567" w:hanging="56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
  </w:num>
  <w:num w:numId="4">
    <w:abstractNumId w:val="8"/>
  </w:num>
  <w:num w:numId="5">
    <w:abstractNumId w:val="10"/>
  </w:num>
  <w:num w:numId="6">
    <w:abstractNumId w:val="11"/>
  </w:num>
  <w:num w:numId="7">
    <w:abstractNumId w:val="6"/>
  </w:num>
  <w:num w:numId="8">
    <w:abstractNumId w:val="5"/>
  </w:num>
  <w:num w:numId="9">
    <w:abstractNumId w:val="2"/>
  </w:num>
  <w:num w:numId="10">
    <w:abstractNumId w:val="7"/>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80"/>
  <w:drawingGridHorizontalSpacing w:val="120"/>
  <w:displayHorizontalDrawingGridEvery w:val="0"/>
  <w:displayVerticalDrawingGridEvery w:val="2"/>
  <w:characterSpacingControl w:val="compressPunctuation"/>
  <w:hdrShapeDefaults>
    <o:shapedefaults v:ext="edit" spidmax="1781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7F4A"/>
    <w:rsid w:val="00000800"/>
    <w:rsid w:val="00000F83"/>
    <w:rsid w:val="00003D50"/>
    <w:rsid w:val="0001649F"/>
    <w:rsid w:val="0001667E"/>
    <w:rsid w:val="000307E3"/>
    <w:rsid w:val="000334E3"/>
    <w:rsid w:val="000422C4"/>
    <w:rsid w:val="00042C1E"/>
    <w:rsid w:val="00044644"/>
    <w:rsid w:val="000536DF"/>
    <w:rsid w:val="00056164"/>
    <w:rsid w:val="00063801"/>
    <w:rsid w:val="0008167C"/>
    <w:rsid w:val="00081E5D"/>
    <w:rsid w:val="000827F2"/>
    <w:rsid w:val="00085FFD"/>
    <w:rsid w:val="00090F82"/>
    <w:rsid w:val="00092941"/>
    <w:rsid w:val="000A0C9B"/>
    <w:rsid w:val="000A15C8"/>
    <w:rsid w:val="000A396F"/>
    <w:rsid w:val="000A73D2"/>
    <w:rsid w:val="000B26BA"/>
    <w:rsid w:val="000D1E18"/>
    <w:rsid w:val="000D49BB"/>
    <w:rsid w:val="000D6343"/>
    <w:rsid w:val="000E186A"/>
    <w:rsid w:val="000E59C6"/>
    <w:rsid w:val="000F1B47"/>
    <w:rsid w:val="000F6697"/>
    <w:rsid w:val="000F6BEE"/>
    <w:rsid w:val="00106E26"/>
    <w:rsid w:val="001072B8"/>
    <w:rsid w:val="001078B9"/>
    <w:rsid w:val="00115EF4"/>
    <w:rsid w:val="0011603E"/>
    <w:rsid w:val="00116435"/>
    <w:rsid w:val="0012135A"/>
    <w:rsid w:val="00146E60"/>
    <w:rsid w:val="001478F5"/>
    <w:rsid w:val="0015091B"/>
    <w:rsid w:val="00154006"/>
    <w:rsid w:val="0015497D"/>
    <w:rsid w:val="00155C73"/>
    <w:rsid w:val="00156A61"/>
    <w:rsid w:val="001649BD"/>
    <w:rsid w:val="001707A8"/>
    <w:rsid w:val="00173678"/>
    <w:rsid w:val="00185AAB"/>
    <w:rsid w:val="00186693"/>
    <w:rsid w:val="00192191"/>
    <w:rsid w:val="00196B90"/>
    <w:rsid w:val="001A4653"/>
    <w:rsid w:val="001B3A0C"/>
    <w:rsid w:val="001B7829"/>
    <w:rsid w:val="001C059B"/>
    <w:rsid w:val="001C064D"/>
    <w:rsid w:val="001C2234"/>
    <w:rsid w:val="001C3BAA"/>
    <w:rsid w:val="001C528A"/>
    <w:rsid w:val="001C6139"/>
    <w:rsid w:val="001D2A37"/>
    <w:rsid w:val="001E59A9"/>
    <w:rsid w:val="001E5A20"/>
    <w:rsid w:val="001E5F07"/>
    <w:rsid w:val="001E769C"/>
    <w:rsid w:val="001F006F"/>
    <w:rsid w:val="001F2E77"/>
    <w:rsid w:val="001F6072"/>
    <w:rsid w:val="00200EE8"/>
    <w:rsid w:val="00205E77"/>
    <w:rsid w:val="002136E3"/>
    <w:rsid w:val="00216496"/>
    <w:rsid w:val="00216833"/>
    <w:rsid w:val="00223E2A"/>
    <w:rsid w:val="00224F09"/>
    <w:rsid w:val="0022536A"/>
    <w:rsid w:val="0022556B"/>
    <w:rsid w:val="00231BFD"/>
    <w:rsid w:val="00235B97"/>
    <w:rsid w:val="00236870"/>
    <w:rsid w:val="00236A87"/>
    <w:rsid w:val="0024677B"/>
    <w:rsid w:val="00264539"/>
    <w:rsid w:val="0027314B"/>
    <w:rsid w:val="00287186"/>
    <w:rsid w:val="002931D4"/>
    <w:rsid w:val="002932B6"/>
    <w:rsid w:val="002A17BB"/>
    <w:rsid w:val="002A2AF1"/>
    <w:rsid w:val="002A6F7D"/>
    <w:rsid w:val="002B1EDE"/>
    <w:rsid w:val="002B2C79"/>
    <w:rsid w:val="002C1B3A"/>
    <w:rsid w:val="002C49C9"/>
    <w:rsid w:val="002C4A97"/>
    <w:rsid w:val="002C5A24"/>
    <w:rsid w:val="002E28C9"/>
    <w:rsid w:val="002E6203"/>
    <w:rsid w:val="002F297E"/>
    <w:rsid w:val="002F5BCA"/>
    <w:rsid w:val="002F621D"/>
    <w:rsid w:val="00301024"/>
    <w:rsid w:val="00303005"/>
    <w:rsid w:val="00303E49"/>
    <w:rsid w:val="00320957"/>
    <w:rsid w:val="00322A28"/>
    <w:rsid w:val="00336C26"/>
    <w:rsid w:val="00345760"/>
    <w:rsid w:val="00345EE4"/>
    <w:rsid w:val="00352BEA"/>
    <w:rsid w:val="00360A30"/>
    <w:rsid w:val="00363825"/>
    <w:rsid w:val="00373C30"/>
    <w:rsid w:val="00375E45"/>
    <w:rsid w:val="003824BF"/>
    <w:rsid w:val="003865D7"/>
    <w:rsid w:val="0038730C"/>
    <w:rsid w:val="003957F2"/>
    <w:rsid w:val="003A397C"/>
    <w:rsid w:val="003A6429"/>
    <w:rsid w:val="003A7F4A"/>
    <w:rsid w:val="003B191E"/>
    <w:rsid w:val="003C2CC5"/>
    <w:rsid w:val="003C63FA"/>
    <w:rsid w:val="003D40A1"/>
    <w:rsid w:val="003E509C"/>
    <w:rsid w:val="003E7036"/>
    <w:rsid w:val="003F1B1B"/>
    <w:rsid w:val="003F2159"/>
    <w:rsid w:val="003F2CBB"/>
    <w:rsid w:val="003F5B7D"/>
    <w:rsid w:val="003F5C1C"/>
    <w:rsid w:val="003F6300"/>
    <w:rsid w:val="004047D3"/>
    <w:rsid w:val="00414D28"/>
    <w:rsid w:val="004316A2"/>
    <w:rsid w:val="00431BE4"/>
    <w:rsid w:val="00434014"/>
    <w:rsid w:val="00451771"/>
    <w:rsid w:val="00451C61"/>
    <w:rsid w:val="00453B10"/>
    <w:rsid w:val="00453B98"/>
    <w:rsid w:val="00453D27"/>
    <w:rsid w:val="0046124C"/>
    <w:rsid w:val="004709C3"/>
    <w:rsid w:val="004737A6"/>
    <w:rsid w:val="00476230"/>
    <w:rsid w:val="00476ED0"/>
    <w:rsid w:val="00477710"/>
    <w:rsid w:val="00480600"/>
    <w:rsid w:val="00487640"/>
    <w:rsid w:val="0049281A"/>
    <w:rsid w:val="004968D1"/>
    <w:rsid w:val="00496DC2"/>
    <w:rsid w:val="004A349E"/>
    <w:rsid w:val="004A4DB6"/>
    <w:rsid w:val="004B080D"/>
    <w:rsid w:val="004D0C0C"/>
    <w:rsid w:val="004D1C85"/>
    <w:rsid w:val="004F6249"/>
    <w:rsid w:val="004F626F"/>
    <w:rsid w:val="005006BB"/>
    <w:rsid w:val="00503C3A"/>
    <w:rsid w:val="00515A66"/>
    <w:rsid w:val="00524125"/>
    <w:rsid w:val="00531228"/>
    <w:rsid w:val="00540167"/>
    <w:rsid w:val="0054238C"/>
    <w:rsid w:val="00542E97"/>
    <w:rsid w:val="00543EE0"/>
    <w:rsid w:val="00551825"/>
    <w:rsid w:val="005532AD"/>
    <w:rsid w:val="005707FC"/>
    <w:rsid w:val="00574381"/>
    <w:rsid w:val="00582ED4"/>
    <w:rsid w:val="00585BA4"/>
    <w:rsid w:val="00585EC0"/>
    <w:rsid w:val="005920EE"/>
    <w:rsid w:val="0059583F"/>
    <w:rsid w:val="00596EDD"/>
    <w:rsid w:val="005A4664"/>
    <w:rsid w:val="005A5D61"/>
    <w:rsid w:val="005A7F47"/>
    <w:rsid w:val="005B0C57"/>
    <w:rsid w:val="005C4AE0"/>
    <w:rsid w:val="005C4DA8"/>
    <w:rsid w:val="005D2BD1"/>
    <w:rsid w:val="005D7F59"/>
    <w:rsid w:val="005F1432"/>
    <w:rsid w:val="005F5610"/>
    <w:rsid w:val="005F7235"/>
    <w:rsid w:val="006001AF"/>
    <w:rsid w:val="0060029D"/>
    <w:rsid w:val="00603F4D"/>
    <w:rsid w:val="00612377"/>
    <w:rsid w:val="00617456"/>
    <w:rsid w:val="00621EEA"/>
    <w:rsid w:val="00624169"/>
    <w:rsid w:val="00626831"/>
    <w:rsid w:val="006320D1"/>
    <w:rsid w:val="00640FD6"/>
    <w:rsid w:val="00642553"/>
    <w:rsid w:val="0064657A"/>
    <w:rsid w:val="006512A1"/>
    <w:rsid w:val="00652E29"/>
    <w:rsid w:val="00654F57"/>
    <w:rsid w:val="00655F29"/>
    <w:rsid w:val="00656D4B"/>
    <w:rsid w:val="00661B8C"/>
    <w:rsid w:val="00670BF7"/>
    <w:rsid w:val="00681723"/>
    <w:rsid w:val="00681E33"/>
    <w:rsid w:val="006873DB"/>
    <w:rsid w:val="006966BA"/>
    <w:rsid w:val="00696EDC"/>
    <w:rsid w:val="006A5C70"/>
    <w:rsid w:val="006B2BF4"/>
    <w:rsid w:val="006C0E7B"/>
    <w:rsid w:val="006C6787"/>
    <w:rsid w:val="006D0B9A"/>
    <w:rsid w:val="006D3D30"/>
    <w:rsid w:val="006E0011"/>
    <w:rsid w:val="006E38D0"/>
    <w:rsid w:val="007111A9"/>
    <w:rsid w:val="0071545F"/>
    <w:rsid w:val="007224D5"/>
    <w:rsid w:val="007263D9"/>
    <w:rsid w:val="00726833"/>
    <w:rsid w:val="0073225E"/>
    <w:rsid w:val="00735EB6"/>
    <w:rsid w:val="00745080"/>
    <w:rsid w:val="00753C17"/>
    <w:rsid w:val="00754D80"/>
    <w:rsid w:val="00762253"/>
    <w:rsid w:val="007875CA"/>
    <w:rsid w:val="007909E5"/>
    <w:rsid w:val="00790CDB"/>
    <w:rsid w:val="007924E5"/>
    <w:rsid w:val="00794597"/>
    <w:rsid w:val="00794EEB"/>
    <w:rsid w:val="007955FC"/>
    <w:rsid w:val="00797FEC"/>
    <w:rsid w:val="007A1A09"/>
    <w:rsid w:val="007B4202"/>
    <w:rsid w:val="007B758C"/>
    <w:rsid w:val="007C1AC8"/>
    <w:rsid w:val="007C3503"/>
    <w:rsid w:val="007C6567"/>
    <w:rsid w:val="007D3E83"/>
    <w:rsid w:val="007D53D9"/>
    <w:rsid w:val="007E264E"/>
    <w:rsid w:val="007E5E1F"/>
    <w:rsid w:val="007F03D2"/>
    <w:rsid w:val="007F0A23"/>
    <w:rsid w:val="007F5F3E"/>
    <w:rsid w:val="00801627"/>
    <w:rsid w:val="00813752"/>
    <w:rsid w:val="0081398F"/>
    <w:rsid w:val="0081505C"/>
    <w:rsid w:val="00823BA6"/>
    <w:rsid w:val="00824C7A"/>
    <w:rsid w:val="00825351"/>
    <w:rsid w:val="00825F72"/>
    <w:rsid w:val="008274F8"/>
    <w:rsid w:val="00836F9F"/>
    <w:rsid w:val="00840608"/>
    <w:rsid w:val="0084249B"/>
    <w:rsid w:val="00845D2E"/>
    <w:rsid w:val="00852642"/>
    <w:rsid w:val="00857539"/>
    <w:rsid w:val="008575FD"/>
    <w:rsid w:val="00857804"/>
    <w:rsid w:val="008604EA"/>
    <w:rsid w:val="008651D3"/>
    <w:rsid w:val="00877BD8"/>
    <w:rsid w:val="00883C75"/>
    <w:rsid w:val="0089428B"/>
    <w:rsid w:val="00894A41"/>
    <w:rsid w:val="008A429B"/>
    <w:rsid w:val="008A7AE8"/>
    <w:rsid w:val="008B3473"/>
    <w:rsid w:val="008B353B"/>
    <w:rsid w:val="008B64E3"/>
    <w:rsid w:val="008B6FBF"/>
    <w:rsid w:val="008D0685"/>
    <w:rsid w:val="008D08D7"/>
    <w:rsid w:val="008D28FC"/>
    <w:rsid w:val="008D432D"/>
    <w:rsid w:val="008E6ABB"/>
    <w:rsid w:val="008F4C9F"/>
    <w:rsid w:val="008F6EC7"/>
    <w:rsid w:val="00907C27"/>
    <w:rsid w:val="00907FEE"/>
    <w:rsid w:val="00913266"/>
    <w:rsid w:val="00915236"/>
    <w:rsid w:val="0092072B"/>
    <w:rsid w:val="009277E5"/>
    <w:rsid w:val="00933D36"/>
    <w:rsid w:val="0093523D"/>
    <w:rsid w:val="009373EA"/>
    <w:rsid w:val="0094095F"/>
    <w:rsid w:val="009440E3"/>
    <w:rsid w:val="00946B1D"/>
    <w:rsid w:val="009524A8"/>
    <w:rsid w:val="00953C34"/>
    <w:rsid w:val="00983EA7"/>
    <w:rsid w:val="009A2CD1"/>
    <w:rsid w:val="009A6681"/>
    <w:rsid w:val="009B3C6E"/>
    <w:rsid w:val="009C1279"/>
    <w:rsid w:val="009C28E4"/>
    <w:rsid w:val="009C7095"/>
    <w:rsid w:val="009D39B2"/>
    <w:rsid w:val="009D48A6"/>
    <w:rsid w:val="009E6A46"/>
    <w:rsid w:val="009F34F6"/>
    <w:rsid w:val="00A012E1"/>
    <w:rsid w:val="00A02CB5"/>
    <w:rsid w:val="00A03D74"/>
    <w:rsid w:val="00A05150"/>
    <w:rsid w:val="00A1253B"/>
    <w:rsid w:val="00A20ED1"/>
    <w:rsid w:val="00A238C3"/>
    <w:rsid w:val="00A35896"/>
    <w:rsid w:val="00A5672A"/>
    <w:rsid w:val="00A635B0"/>
    <w:rsid w:val="00A7321F"/>
    <w:rsid w:val="00A75096"/>
    <w:rsid w:val="00A86821"/>
    <w:rsid w:val="00AA250B"/>
    <w:rsid w:val="00AA44B1"/>
    <w:rsid w:val="00AA6BC2"/>
    <w:rsid w:val="00AA6E84"/>
    <w:rsid w:val="00AD601C"/>
    <w:rsid w:val="00AE1D18"/>
    <w:rsid w:val="00AE1E46"/>
    <w:rsid w:val="00AE3B1E"/>
    <w:rsid w:val="00AF384A"/>
    <w:rsid w:val="00AF722F"/>
    <w:rsid w:val="00B00FA2"/>
    <w:rsid w:val="00B1633C"/>
    <w:rsid w:val="00B20CEE"/>
    <w:rsid w:val="00B4326F"/>
    <w:rsid w:val="00B66668"/>
    <w:rsid w:val="00B737ED"/>
    <w:rsid w:val="00B8273E"/>
    <w:rsid w:val="00B83DA4"/>
    <w:rsid w:val="00B846EF"/>
    <w:rsid w:val="00B942A5"/>
    <w:rsid w:val="00B94D43"/>
    <w:rsid w:val="00B95461"/>
    <w:rsid w:val="00B975F2"/>
    <w:rsid w:val="00B97747"/>
    <w:rsid w:val="00BA13CC"/>
    <w:rsid w:val="00BA36C1"/>
    <w:rsid w:val="00BA5B78"/>
    <w:rsid w:val="00BA6AC9"/>
    <w:rsid w:val="00BB49EB"/>
    <w:rsid w:val="00BC2379"/>
    <w:rsid w:val="00BC6FC7"/>
    <w:rsid w:val="00BD2369"/>
    <w:rsid w:val="00BD3AE7"/>
    <w:rsid w:val="00BD5209"/>
    <w:rsid w:val="00BE05BD"/>
    <w:rsid w:val="00BE0D47"/>
    <w:rsid w:val="00BE1B2F"/>
    <w:rsid w:val="00BE29D5"/>
    <w:rsid w:val="00BE41A4"/>
    <w:rsid w:val="00BF26C3"/>
    <w:rsid w:val="00BF7939"/>
    <w:rsid w:val="00C026BC"/>
    <w:rsid w:val="00C126E7"/>
    <w:rsid w:val="00C133C3"/>
    <w:rsid w:val="00C14268"/>
    <w:rsid w:val="00C1641F"/>
    <w:rsid w:val="00C22A4E"/>
    <w:rsid w:val="00C33417"/>
    <w:rsid w:val="00C37241"/>
    <w:rsid w:val="00C51A0E"/>
    <w:rsid w:val="00C57D88"/>
    <w:rsid w:val="00C656AF"/>
    <w:rsid w:val="00C67FEF"/>
    <w:rsid w:val="00C75772"/>
    <w:rsid w:val="00C75B61"/>
    <w:rsid w:val="00C83BA0"/>
    <w:rsid w:val="00C87779"/>
    <w:rsid w:val="00C9402D"/>
    <w:rsid w:val="00CA6389"/>
    <w:rsid w:val="00CB033E"/>
    <w:rsid w:val="00CC21B1"/>
    <w:rsid w:val="00CC29B3"/>
    <w:rsid w:val="00CE0906"/>
    <w:rsid w:val="00CE4127"/>
    <w:rsid w:val="00CE58F2"/>
    <w:rsid w:val="00CE6296"/>
    <w:rsid w:val="00CE6614"/>
    <w:rsid w:val="00CF5426"/>
    <w:rsid w:val="00CF5664"/>
    <w:rsid w:val="00CF67EE"/>
    <w:rsid w:val="00D05111"/>
    <w:rsid w:val="00D10325"/>
    <w:rsid w:val="00D20E9D"/>
    <w:rsid w:val="00D27944"/>
    <w:rsid w:val="00D313D9"/>
    <w:rsid w:val="00D315AA"/>
    <w:rsid w:val="00D31D03"/>
    <w:rsid w:val="00D34366"/>
    <w:rsid w:val="00D4643E"/>
    <w:rsid w:val="00D514DB"/>
    <w:rsid w:val="00D51ACE"/>
    <w:rsid w:val="00D51B55"/>
    <w:rsid w:val="00D60C09"/>
    <w:rsid w:val="00D72E83"/>
    <w:rsid w:val="00D72F74"/>
    <w:rsid w:val="00D74497"/>
    <w:rsid w:val="00D77B4B"/>
    <w:rsid w:val="00D844A5"/>
    <w:rsid w:val="00D91FBE"/>
    <w:rsid w:val="00D938CF"/>
    <w:rsid w:val="00DA012B"/>
    <w:rsid w:val="00DA17DD"/>
    <w:rsid w:val="00DA3CE1"/>
    <w:rsid w:val="00DB08D6"/>
    <w:rsid w:val="00DB359B"/>
    <w:rsid w:val="00DB4F2E"/>
    <w:rsid w:val="00DC33B5"/>
    <w:rsid w:val="00DD0F76"/>
    <w:rsid w:val="00DD4656"/>
    <w:rsid w:val="00DE213F"/>
    <w:rsid w:val="00DE3C44"/>
    <w:rsid w:val="00DE66C7"/>
    <w:rsid w:val="00DF1600"/>
    <w:rsid w:val="00DF244E"/>
    <w:rsid w:val="00DF47F5"/>
    <w:rsid w:val="00E044CC"/>
    <w:rsid w:val="00E2027B"/>
    <w:rsid w:val="00E207F8"/>
    <w:rsid w:val="00E2743D"/>
    <w:rsid w:val="00E3335E"/>
    <w:rsid w:val="00E356BD"/>
    <w:rsid w:val="00E359CC"/>
    <w:rsid w:val="00E4561F"/>
    <w:rsid w:val="00E45B7B"/>
    <w:rsid w:val="00E64CBA"/>
    <w:rsid w:val="00E706B6"/>
    <w:rsid w:val="00E846F2"/>
    <w:rsid w:val="00E87988"/>
    <w:rsid w:val="00E935B7"/>
    <w:rsid w:val="00EA07DC"/>
    <w:rsid w:val="00EA16CB"/>
    <w:rsid w:val="00EA27D7"/>
    <w:rsid w:val="00EA49A6"/>
    <w:rsid w:val="00EA6F67"/>
    <w:rsid w:val="00EB43EC"/>
    <w:rsid w:val="00EB7D7D"/>
    <w:rsid w:val="00EB7E7F"/>
    <w:rsid w:val="00EC177B"/>
    <w:rsid w:val="00EC1B8F"/>
    <w:rsid w:val="00EC23B5"/>
    <w:rsid w:val="00EC7201"/>
    <w:rsid w:val="00ED309D"/>
    <w:rsid w:val="00EE0954"/>
    <w:rsid w:val="00EE7115"/>
    <w:rsid w:val="00EF35F8"/>
    <w:rsid w:val="00F14321"/>
    <w:rsid w:val="00F1504D"/>
    <w:rsid w:val="00F16054"/>
    <w:rsid w:val="00F30FD4"/>
    <w:rsid w:val="00F335CB"/>
    <w:rsid w:val="00F363FC"/>
    <w:rsid w:val="00F40AD8"/>
    <w:rsid w:val="00F42A79"/>
    <w:rsid w:val="00F458E3"/>
    <w:rsid w:val="00F55CAA"/>
    <w:rsid w:val="00F60944"/>
    <w:rsid w:val="00F70053"/>
    <w:rsid w:val="00F70DDA"/>
    <w:rsid w:val="00F733AD"/>
    <w:rsid w:val="00F83CE3"/>
    <w:rsid w:val="00F94115"/>
    <w:rsid w:val="00F9654F"/>
    <w:rsid w:val="00FA2201"/>
    <w:rsid w:val="00FB28A7"/>
    <w:rsid w:val="00FB5854"/>
    <w:rsid w:val="00FD1CFD"/>
    <w:rsid w:val="00FD1F40"/>
    <w:rsid w:val="00FD232C"/>
    <w:rsid w:val="00FD5637"/>
    <w:rsid w:val="00FD6603"/>
    <w:rsid w:val="00FD7080"/>
    <w:rsid w:val="00FE0A8F"/>
    <w:rsid w:val="00FE1EA0"/>
    <w:rsid w:val="00FE74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5F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25F72"/>
    <w:rPr>
      <w:rFonts w:ascii="細明體" w:eastAsia="細明體" w:hAnsi="Courier New" w:cs="標楷體"/>
    </w:rPr>
  </w:style>
  <w:style w:type="paragraph" w:styleId="a5">
    <w:name w:val="footer"/>
    <w:basedOn w:val="a"/>
    <w:link w:val="a6"/>
    <w:uiPriority w:val="99"/>
    <w:rsid w:val="00825F72"/>
    <w:pPr>
      <w:tabs>
        <w:tab w:val="center" w:pos="4153"/>
        <w:tab w:val="right" w:pos="8306"/>
      </w:tabs>
      <w:snapToGrid w:val="0"/>
    </w:pPr>
    <w:rPr>
      <w:sz w:val="20"/>
      <w:szCs w:val="20"/>
    </w:rPr>
  </w:style>
  <w:style w:type="character" w:styleId="a7">
    <w:name w:val="page number"/>
    <w:basedOn w:val="a0"/>
    <w:rsid w:val="00825F72"/>
  </w:style>
  <w:style w:type="paragraph" w:styleId="a8">
    <w:name w:val="header"/>
    <w:basedOn w:val="a"/>
    <w:link w:val="a9"/>
    <w:uiPriority w:val="99"/>
    <w:rsid w:val="00825F72"/>
    <w:pPr>
      <w:tabs>
        <w:tab w:val="center" w:pos="4153"/>
        <w:tab w:val="right" w:pos="8306"/>
      </w:tabs>
      <w:snapToGrid w:val="0"/>
    </w:pPr>
    <w:rPr>
      <w:sz w:val="20"/>
      <w:szCs w:val="20"/>
    </w:rPr>
  </w:style>
  <w:style w:type="paragraph" w:styleId="aa">
    <w:name w:val="Body Text Indent"/>
    <w:basedOn w:val="a"/>
    <w:link w:val="ab"/>
    <w:rsid w:val="00825F72"/>
    <w:pPr>
      <w:ind w:leftChars="600" w:left="1680" w:hangingChars="100" w:hanging="240"/>
    </w:pPr>
    <w:rPr>
      <w:rFonts w:eastAsia="標楷體"/>
      <w:color w:val="000000"/>
      <w:u w:val="single"/>
    </w:rPr>
  </w:style>
  <w:style w:type="character" w:styleId="ac">
    <w:name w:val="annotation reference"/>
    <w:basedOn w:val="a0"/>
    <w:semiHidden/>
    <w:rsid w:val="00825F72"/>
    <w:rPr>
      <w:sz w:val="18"/>
      <w:szCs w:val="18"/>
    </w:rPr>
  </w:style>
  <w:style w:type="paragraph" w:styleId="ad">
    <w:name w:val="annotation text"/>
    <w:basedOn w:val="a"/>
    <w:semiHidden/>
    <w:rsid w:val="00825F72"/>
  </w:style>
  <w:style w:type="paragraph" w:styleId="2">
    <w:name w:val="Body Text Indent 2"/>
    <w:basedOn w:val="a"/>
    <w:rsid w:val="00825F72"/>
    <w:pPr>
      <w:snapToGrid w:val="0"/>
      <w:spacing w:line="200" w:lineRule="atLeast"/>
      <w:ind w:leftChars="52" w:left="331" w:hangingChars="86" w:hanging="206"/>
    </w:pPr>
    <w:rPr>
      <w:rFonts w:ascii="標楷體" w:eastAsia="標楷體"/>
    </w:rPr>
  </w:style>
  <w:style w:type="paragraph" w:styleId="ae">
    <w:name w:val="Balloon Text"/>
    <w:basedOn w:val="a"/>
    <w:semiHidden/>
    <w:rsid w:val="00825F72"/>
    <w:rPr>
      <w:rFonts w:ascii="Arial" w:hAnsi="Arial"/>
      <w:sz w:val="18"/>
      <w:szCs w:val="18"/>
    </w:rPr>
  </w:style>
  <w:style w:type="character" w:customStyle="1" w:styleId="a9">
    <w:name w:val="頁首 字元"/>
    <w:basedOn w:val="a0"/>
    <w:link w:val="a8"/>
    <w:uiPriority w:val="99"/>
    <w:rsid w:val="00656D4B"/>
    <w:rPr>
      <w:kern w:val="2"/>
    </w:rPr>
  </w:style>
  <w:style w:type="character" w:customStyle="1" w:styleId="a4">
    <w:name w:val="純文字 字元"/>
    <w:basedOn w:val="a0"/>
    <w:link w:val="a3"/>
    <w:rsid w:val="00656D4B"/>
    <w:rPr>
      <w:rFonts w:ascii="細明體" w:eastAsia="細明體" w:hAnsi="Courier New" w:cs="標楷體"/>
      <w:kern w:val="2"/>
      <w:sz w:val="24"/>
      <w:szCs w:val="24"/>
    </w:rPr>
  </w:style>
  <w:style w:type="character" w:styleId="af">
    <w:name w:val="Hyperlink"/>
    <w:basedOn w:val="a0"/>
    <w:rsid w:val="00451771"/>
    <w:rPr>
      <w:color w:val="0000FF" w:themeColor="hyperlink"/>
      <w:u w:val="single"/>
    </w:rPr>
  </w:style>
  <w:style w:type="paragraph" w:styleId="af0">
    <w:name w:val="List Paragraph"/>
    <w:basedOn w:val="a"/>
    <w:uiPriority w:val="34"/>
    <w:qFormat/>
    <w:rsid w:val="001E59A9"/>
    <w:pPr>
      <w:ind w:leftChars="200" w:left="480"/>
    </w:pPr>
  </w:style>
  <w:style w:type="character" w:customStyle="1" w:styleId="a6">
    <w:name w:val="頁尾 字元"/>
    <w:basedOn w:val="a0"/>
    <w:link w:val="a5"/>
    <w:uiPriority w:val="99"/>
    <w:rsid w:val="00C33417"/>
    <w:rPr>
      <w:kern w:val="2"/>
    </w:rPr>
  </w:style>
  <w:style w:type="character" w:customStyle="1" w:styleId="ab">
    <w:name w:val="本文縮排 字元"/>
    <w:basedOn w:val="a0"/>
    <w:link w:val="aa"/>
    <w:rsid w:val="002F621D"/>
    <w:rPr>
      <w:rFonts w:eastAsia="標楷體"/>
      <w:color w:val="000000"/>
      <w:kern w:val="2"/>
      <w:sz w:val="24"/>
      <w:szCs w:val="24"/>
      <w:u w:val="single"/>
    </w:rPr>
  </w:style>
</w:styles>
</file>

<file path=word/webSettings.xml><?xml version="1.0" encoding="utf-8"?>
<w:webSettings xmlns:r="http://schemas.openxmlformats.org/officeDocument/2006/relationships" xmlns:w="http://schemas.openxmlformats.org/wordprocessingml/2006/main">
  <w:divs>
    <w:div w:id="1081680899">
      <w:bodyDiv w:val="1"/>
      <w:marLeft w:val="0"/>
      <w:marRight w:val="0"/>
      <w:marTop w:val="0"/>
      <w:marBottom w:val="0"/>
      <w:divBdr>
        <w:top w:val="none" w:sz="0" w:space="0" w:color="auto"/>
        <w:left w:val="none" w:sz="0" w:space="0" w:color="auto"/>
        <w:bottom w:val="none" w:sz="0" w:space="0" w:color="auto"/>
        <w:right w:val="none" w:sz="0" w:space="0" w:color="auto"/>
      </w:divBdr>
    </w:div>
    <w:div w:id="18428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E4840-9731-41B3-965C-1AAF6AA0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707</Words>
  <Characters>4036</Characters>
  <Application>Microsoft Office Word</Application>
  <DocSecurity>0</DocSecurity>
  <Lines>33</Lines>
  <Paragraphs>9</Paragraphs>
  <ScaleCrop>false</ScaleCrop>
  <Company>銀行公會</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﹁銀行連帶保證契約答客問宣導摺頁﹂草案（第一次報部版）</dc:title>
  <dc:creator>銀行公會</dc:creator>
  <cp:lastModifiedBy>PC2340</cp:lastModifiedBy>
  <cp:revision>4</cp:revision>
  <cp:lastPrinted>2018-07-18T07:34:00Z</cp:lastPrinted>
  <dcterms:created xsi:type="dcterms:W3CDTF">2018-07-18T07:40:00Z</dcterms:created>
  <dcterms:modified xsi:type="dcterms:W3CDTF">2018-08-20T06:30:00Z</dcterms:modified>
</cp:coreProperties>
</file>